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footer+xml" PartName="/word/footer6.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sz="0"/>
          <w:left w:val="none" w:sz="0"/>
          <w:bottom w:val="none" w:sz="0"/>
          <w:right w:val="none" w:sz="0"/>
          <w:insideH w:val="none" w:sz="0"/>
          <w:insideV w:val="none" w:sz="0"/>
        </w:tblBorders>
      </w:tblPr>
      <w:tblGrid>
        <w:gridCol w:w="100"/>
        <w:gridCol w:w="100"/>
      </w:tblGrid>
      <w:tr>
        <w:tc>
          <w:p>
            <w:r>
              <w:drawing>
                <wp:inline distT="0" distB="0" distL="0" distR="0">
                  <wp:extent cx="7620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762000" cy="609600"/>
                          </a:xfrm>
                          <a:prstGeom prst="rect">
                            <a:avLst/>
                          </a:prstGeom>
                        </pic:spPr>
                      </pic:pic>
                    </a:graphicData>
                  </a:graphic>
                </wp:inline>
              </w:drawing>
            </w:r>
          </w:p>
        </w:tc>
        <w:tc>
          <w:tcPr>
            <w:tcW w:type="pct" w:w="100%"/>
            <w:shd w:fill="FFFFFF" w:val="clear"/>
            <w:tcMar>
              <w:top w:type="dxa" w:w="80"/>
              <w:left w:type="dxa" w:w="100"/>
              <w:bottom w:type="dxa" w:w="80"/>
              <w:right w:type="dxa" w:w="100"/>
            </w:tcMar>
            <w:vAlign w:val="center"/>
          </w:tcPr>
          <w:p>
            <w:pPr>
              <w:spacing w:after="30"/>
              <w:jc w:val="right"/>
            </w:pPr>
            <w:r>
              <w:rPr>
                <w:b/>
                <w:bCs/>
                <w:color w:val="243B5A"/>
                <w:sz w:val="15"/>
                <w:szCs w:val="15"/>
              </w:rPr>
              <w:t xml:space="preserve">01 · EQUIPMENT PROPOSAL</w:t>
            </w:r>
          </w:p>
          <w:p>
            <w:pPr>
              <w:spacing w:after="30"/>
              <w:jc w:val="right"/>
            </w:pPr>
            <w:r>
              <w:rPr>
                <w:b/>
                <w:bCs/>
                <w:color w:val="243B5A"/>
                <w:sz w:val="15"/>
                <w:szCs w:val="15"/>
              </w:rPr>
              <w:t xml:space="preserve">SE-20260825-GN150-QA · V1</w:t>
            </w:r>
          </w:p>
          <w:p>
            <w:pPr>
              <w:spacing w:after="0"/>
              <w:jc w:val="right"/>
            </w:pPr>
            <w:r>
              <w:rPr>
                <w:b/>
                <w:bCs/>
                <w:color w:val="243B5A"/>
                <w:sz w:val="15"/>
                <w:szCs w:val="15"/>
              </w:rPr>
              <w:t xml:space="preserve">August 25, 2026</w:t>
            </w:r>
          </w:p>
        </w:tc>
      </w:tr>
    </w:tbl>
    <w:p>
      <w:pPr>
        <w:spacing w:after="70" w:line="90" w:lineRule="atLeast"/>
      </w:pPr>
      <w:r>
        <w:rPr>
          <w:color w:val="243B5A"/>
          <w:sz w:val="20"/>
          <w:szCs w:val="20"/>
        </w:rPr>
        <w:t xml:space="preserve"/>
      </w:r>
    </w:p>
    <w:tbl>
      <w:tblPr>
        <w:tblW w:type="pct" w:w="100%"/>
        <w:tblBorders>
          <w:top w:val="none" w:sz="0"/>
          <w:left w:val="single" w:color="FF5A00" w:sz="40"/>
          <w:bottom w:val="none" w:sz="0"/>
          <w:right w:val="none" w:sz="0"/>
          <w:insideH w:val="none" w:sz="0"/>
          <w:insideV w:val="none" w:sz="0"/>
        </w:tblBorders>
      </w:tblPr>
      <w:tblGrid>
        <w:gridCol w:w="100"/>
        <w:gridCol w:w="100"/>
      </w:tblGrid>
      <w:tr>
        <w:tc>
          <w:tcPr>
            <w:tcW w:type="pct" w:w="50%"/>
            <w:shd w:fill="102E4F"/>
            <w:tcMar>
              <w:top w:type="dxa" w:w="230"/>
              <w:left w:type="dxa" w:w="210"/>
              <w:bottom w:type="dxa" w:w="210"/>
              <w:right w:type="dxa" w:w="160"/>
            </w:tcMar>
            <w:vAlign w:val="top"/>
          </w:tcPr>
          <w:p>
            <w:pPr>
              <w:spacing w:after="200" w:line="260" w:lineRule="atLeast"/>
            </w:pPr>
            <w:r>
              <w:rPr>
                <w:b/>
                <w:bCs/>
                <w:color w:val="C6D6E5"/>
                <w:sz w:val="15"/>
                <w:szCs w:val="15"/>
              </w:rPr>
              <w:t xml:space="preserve">ON-SITE NITROGEN GENERATION</w:t>
            </w:r>
          </w:p>
          <w:p>
            <w:pPr>
              <w:spacing w:after="240" w:line="1200" w:lineRule="atLeast"/>
            </w:pPr>
            <w:r>
              <w:rPr>
                <w:b/>
                <w:bCs/>
                <w:color w:val="FFFFFF"/>
                <w:sz w:val="120"/>
                <w:szCs w:val="120"/>
              </w:rPr>
              <w:t xml:space="preserve">GN-150</w:t>
            </w:r>
          </w:p>
          <w:p>
            <w:pPr>
              <w:spacing w:after="0" w:line="500" w:lineRule="atLeast"/>
            </w:pPr>
            <w:r>
              <w:rPr>
                <w:b/>
                <w:bCs/>
                <w:color w:val="FFFFFF"/>
                <w:sz w:val="48"/>
                <w:szCs w:val="48"/>
              </w:rPr>
              <w:t xml:space="preserve">Your nitrogen.</w:t>
            </w:r>
          </w:p>
          <w:p>
            <w:pPr>
              <w:spacing w:after="200" w:line="500" w:lineRule="atLeast"/>
            </w:pPr>
            <w:r>
              <w:rPr>
                <w:b/>
                <w:bCs/>
                <w:color w:val="FFFFFF"/>
                <w:sz w:val="48"/>
                <w:szCs w:val="48"/>
              </w:rPr>
              <w:t xml:space="preserve">At your facility.</w:t>
            </w:r>
          </w:p>
          <w:p>
            <w:pPr>
              <w:spacing w:after="170" w:line="280" w:lineRule="atLeast"/>
            </w:pPr>
            <w:r>
              <w:rPr>
                <w:color w:val="C6D6E5"/>
                <w:sz w:val="21"/>
                <w:szCs w:val="21"/>
              </w:rPr>
              <w:t xml:space="preserve">Complete station at 99.99% nitrogen purity.</w:t>
            </w:r>
          </w:p>
          <w:p>
            <w:pPr>
              <w:spacing w:after="0" w:line="260" w:lineRule="atLeast"/>
            </w:pPr>
            <w:r>
              <w:rPr>
                <w:b/>
                <w:bCs/>
                <w:color w:val="C6D6E5"/>
                <w:sz w:val="14"/>
                <w:szCs w:val="14"/>
              </w:rPr>
              <w:t xml:space="preserve">AIR PREPARATION + PSA + STORAGE</w:t>
            </w:r>
          </w:p>
        </w:tc>
        <w:tc>
          <w:tcPr>
            <w:tcW w:type="pct" w:w="50%"/>
            <w:shd w:fill="102E4F"/>
            <w:tcMar>
              <w:top w:type="dxa" w:w="190"/>
              <w:left w:type="dxa" w:w="100"/>
              <w:bottom w:type="dxa" w:w="160"/>
              <w:right w:type="dxa" w:w="130"/>
            </w:tcMar>
            <w:vAlign w:val="top"/>
          </w:tcPr>
          <w:p>
            <w:pPr>
              <w:jc w:val="center"/>
            </w:pPr>
            <w:r>
              <w:drawing>
                <wp:inline distT="0" distB="0" distL="0" distR="0">
                  <wp:extent cx="3105150" cy="414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105150" cy="4143375"/>
                          </a:xfrm>
                          <a:prstGeom prst="rect">
                            <a:avLst/>
                          </a:prstGeom>
                        </pic:spPr>
                      </pic:pic>
                    </a:graphicData>
                  </a:graphic>
                </wp:inline>
              </w:drawing>
            </w:r>
          </w:p>
          <w:p>
            <w:pPr>
              <w:spacing w:after="0" w:line="180" w:lineRule="atLeast"/>
            </w:pPr>
            <w:r>
              <w:rPr>
                <w:color w:val="C6D6E5"/>
                <w:sz w:val="13"/>
                <w:szCs w:val="13"/>
              </w:rPr>
              <w:t xml:space="preserve">Safe Equip PSA equipment during factory assembly</w:t>
            </w:r>
          </w:p>
        </w:tc>
      </w:tr>
    </w:tbl>
    <w:p>
      <w:pPr>
        <w:spacing w:after="110" w:line="90" w:lineRule="atLeast"/>
      </w:pPr>
      <w:r>
        <w:rPr>
          <w:color w:val="243B5A"/>
          <w:sz w:val="20"/>
          <w:szCs w:val="20"/>
        </w:rPr>
        <w:t xml:space="preserve"/>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33"/>
        <w:gridCol w:w="34"/>
        <w:gridCol w:w="33"/>
      </w:tblGrid>
      <w:tr>
        <w:trPr>
          <w:cantSplit/>
        </w:trPr>
        <w:tc>
          <w:tcPr>
            <w:tcW w:type="pct" w:w="33%"/>
            <w:shd w:fill="F1F5FA" w:val="clear"/>
            <w:tcMar>
              <w:top w:type="dxa" w:w="80"/>
              <w:left w:type="dxa" w:w="100"/>
              <w:bottom w:type="dxa" w:w="80"/>
              <w:right w:type="dxa" w:w="100"/>
            </w:tcMar>
            <w:vAlign w:val="center"/>
          </w:tcPr>
          <w:p>
            <w:pPr>
              <w:spacing w:after="30"/>
            </w:pPr>
            <w:r>
              <w:rPr>
                <w:b/>
                <w:bCs/>
                <w:color w:val="243B5A"/>
                <w:sz w:val="24"/>
                <w:szCs w:val="24"/>
              </w:rPr>
              <w:t xml:space="preserve">99.99%</w:t>
            </w:r>
          </w:p>
          <w:p>
            <w:pPr>
              <w:spacing w:after="0"/>
            </w:pPr>
            <w:r>
              <w:rPr>
                <w:b/>
                <w:bCs/>
                <w:color w:val="243B5A"/>
                <w:sz w:val="24"/>
                <w:szCs w:val="24"/>
              </w:rPr>
              <w:t xml:space="preserve">NITROGEN PURITY</w:t>
            </w:r>
          </w:p>
        </w:tc>
        <w:tc>
          <w:tcPr>
            <w:tcW w:type="pct" w:w="34%"/>
            <w:shd w:fill="F1F5FA" w:val="clear"/>
            <w:tcMar>
              <w:top w:type="dxa" w:w="80"/>
              <w:left w:type="dxa" w:w="100"/>
              <w:bottom w:type="dxa" w:w="80"/>
              <w:right w:type="dxa" w:w="100"/>
            </w:tcMar>
            <w:vAlign w:val="center"/>
          </w:tcPr>
          <w:p>
            <w:pPr>
              <w:spacing w:after="30"/>
            </w:pPr>
            <w:r>
              <w:rPr>
                <w:b/>
                <w:bCs/>
                <w:color w:val="243B5A"/>
                <w:sz w:val="24"/>
                <w:szCs w:val="24"/>
              </w:rPr>
              <w:t xml:space="preserve">50 SCFM</w:t>
            </w:r>
          </w:p>
          <w:p>
            <w:pPr>
              <w:spacing w:after="0"/>
            </w:pPr>
            <w:r>
              <w:rPr>
                <w:b/>
                <w:bCs/>
                <w:color w:val="243B5A"/>
                <w:sz w:val="24"/>
                <w:szCs w:val="24"/>
              </w:rPr>
              <w:t xml:space="preserve">CATALOG CAPACITY</w:t>
            </w:r>
          </w:p>
        </w:tc>
        <w:tc>
          <w:tcPr>
            <w:tcW w:type="pct" w:w="33%"/>
            <w:shd w:fill="F1F5FA" w:val="clear"/>
            <w:tcMar>
              <w:top w:type="dxa" w:w="80"/>
              <w:left w:type="dxa" w:w="100"/>
              <w:bottom w:type="dxa" w:w="80"/>
              <w:right w:type="dxa" w:w="100"/>
            </w:tcMar>
            <w:vAlign w:val="center"/>
          </w:tcPr>
          <w:p>
            <w:pPr>
              <w:spacing w:after="30"/>
            </w:pPr>
            <w:r>
              <w:rPr>
                <w:b/>
                <w:bCs/>
                <w:color w:val="243B5A"/>
                <w:sz w:val="24"/>
                <w:szCs w:val="24"/>
              </w:rPr>
              <w:t xml:space="preserve">Up to 100 psig</w:t>
            </w:r>
          </w:p>
          <w:p>
            <w:pPr>
              <w:spacing w:after="0"/>
            </w:pPr>
            <w:r>
              <w:rPr>
                <w:b/>
                <w:bCs/>
                <w:color w:val="243B5A"/>
                <w:sz w:val="24"/>
                <w:szCs w:val="24"/>
              </w:rPr>
              <w:t xml:space="preserve">OUTLET PRESSURE</w:t>
            </w:r>
          </w:p>
        </w:tc>
      </w:tr>
    </w:tbl>
    <w:p>
      <w:pPr>
        <w:spacing w:after="100" w:line="90" w:lineRule="atLeast"/>
      </w:pPr>
      <w:r>
        <w:rPr>
          <w:color w:val="243B5A"/>
          <w:sz w:val="20"/>
          <w:szCs w:val="20"/>
        </w:rPr>
        <w:t xml:space="preserve"/>
      </w:r>
    </w:p>
    <w:p>
      <w:pPr>
        <w:spacing w:after="55" w:line="260" w:lineRule="atLeast"/>
      </w:pPr>
      <w:r>
        <w:rPr>
          <w:b/>
          <w:bCs/>
          <w:color w:val="102E4F"/>
          <w:sz w:val="20"/>
          <w:szCs w:val="20"/>
        </w:rPr>
        <w:t xml:space="preserve">Prepared for Atlantic Advanced Manufacturing Solutions LLC</w:t>
      </w:r>
    </w:p>
    <w:p>
      <w:pPr>
        <w:spacing w:after="100" w:line="260" w:lineRule="atLeast"/>
      </w:pPr>
      <w:r>
        <w:rPr>
          <w:color w:val="64748B"/>
          <w:sz w:val="17"/>
          <w:szCs w:val="17"/>
        </w:rPr>
        <w:t xml:space="preserve">sales@s-equip.com · (727)349-5569</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58"/>
        <w:gridCol w:w="42"/>
      </w:tblGrid>
      <w:tr>
        <w:trPr>
          <w:cantSplit/>
        </w:trPr>
        <w:tc>
          <w:tcPr>
            <w:tcW w:type="pct" w:w="58%"/>
            <w:shd w:fill="FFFFFF" w:val="clear"/>
            <w:tcMar>
              <w:top w:type="dxa" w:w="80"/>
              <w:left w:type="dxa" w:w="100"/>
              <w:bottom w:type="dxa" w:w="80"/>
              <w:right w:type="dxa" w:w="100"/>
            </w:tcMar>
            <w:vAlign w:val="center"/>
          </w:tcPr>
          <w:p>
            <w:pPr>
              <w:spacing w:after="0"/>
            </w:pPr>
            <w:r>
              <w:rPr>
                <w:b/>
                <w:bCs/>
                <w:color w:val="243B5A"/>
                <w:sz w:val="22"/>
                <w:szCs w:val="22"/>
              </w:rPr>
              <w:t xml:space="preserve">Complete station package</w:t>
            </w:r>
          </w:p>
        </w:tc>
        <w:tc>
          <w:tcPr>
            <w:tcW w:type="pct" w:w="42%"/>
            <w:shd w:fill="FFFFFF" w:val="clear"/>
            <w:tcMar>
              <w:top w:type="dxa" w:w="80"/>
              <w:left w:type="dxa" w:w="100"/>
              <w:bottom w:type="dxa" w:w="80"/>
              <w:right w:type="dxa" w:w="100"/>
            </w:tcMar>
            <w:vAlign w:val="center"/>
          </w:tcPr>
          <w:p>
            <w:pPr>
              <w:spacing w:after="0"/>
              <w:jc w:val="right"/>
            </w:pPr>
            <w:r>
              <w:rPr>
                <w:b/>
                <w:bCs/>
                <w:color w:val="FF5A00"/>
                <w:sz w:val="46"/>
                <w:szCs w:val="46"/>
              </w:rPr>
              <w:t xml:space="preserve">$146,650</w:t>
            </w:r>
          </w:p>
        </w:tc>
      </w:tr>
    </w:tbl>
    <w:p>
      <w:pPr>
        <w:spacing w:after="0" w:line="200" w:lineRule="atLeast"/>
      </w:pPr>
      <w:r>
        <w:rPr>
          <w:b/>
          <w:bCs/>
          <w:color w:val="102E4F"/>
          <w:sz w:val="15"/>
          <w:szCs w:val="15"/>
        </w:rPr>
        <w:t xml:space="preserve">Budgetary proposal · Through September 8, 2026 · next step: design confirmation review</w:t>
      </w:r>
    </w:p>
    <w:p>
      <w:r>
        <w:br w:type="page"/>
      </w:r>
    </w:p>
    <w:p>
      <w:pPr>
        <w:spacing w:after="45" w:line="200" w:lineRule="atLeast"/>
      </w:pPr>
      <w:r>
        <w:rPr>
          <w:b/>
          <w:bCs/>
          <w:color w:val="FF5A00"/>
          <w:sz w:val="16"/>
          <w:szCs w:val="16"/>
        </w:rPr>
        <w:t xml:space="preserve">02 · EXECUTIVE SUMMARY</w:t>
      </w:r>
    </w:p>
    <w:p>
      <w:pPr>
        <w:spacing w:after="65" w:line="470" w:lineRule="atLeast"/>
      </w:pPr>
      <w:r>
        <w:rPr>
          <w:b/>
          <w:bCs/>
          <w:color w:val="102E4F"/>
          <w:sz w:val="44"/>
          <w:szCs w:val="44"/>
        </w:rPr>
        <w:t xml:space="preserve">Your project, on one page</w:t>
      </w:r>
    </w:p>
    <w:p>
      <w:pPr>
        <w:spacing w:after="190" w:line="250" w:lineRule="atLeast"/>
      </w:pPr>
      <w:r>
        <w:rPr>
          <w:color w:val="64748B"/>
          <w:sz w:val="20"/>
          <w:szCs w:val="20"/>
        </w:rPr>
        <w:t xml:space="preserve">The selected package, its operating point and the commercial basis.</w:t>
      </w:r>
    </w:p>
    <w:p>
      <w:pPr>
        <w:spacing w:after="140" w:line="270" w:lineRule="atLeast"/>
      </w:pPr>
      <w:r>
        <w:rPr>
          <w:color w:val="243B5A"/>
          <w:sz w:val="21"/>
          <w:szCs w:val="21"/>
        </w:rPr>
        <w:t xml:space="preserve">Safe Equip proposes a GN-150 PSA nitrogen system based on verified commercial catalog performance at 99.99% nitrogen purity and 50 SCFM delivered capacity.</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50"/>
        <w:gridCol w:w="50"/>
      </w:tblGrid>
      <w:tr>
        <w:trPr>
          <w:cantSplit/>
        </w:trPr>
        <w:tc>
          <w:tcPr>
            <w:tcW w:type="pct" w:w="50%"/>
            <w:shd w:fill="F1F5FA" w:val="clear"/>
            <w:tcMar>
              <w:top w:type="dxa" w:w="80"/>
              <w:left w:type="dxa" w:w="100"/>
              <w:bottom w:type="dxa" w:w="80"/>
              <w:right w:type="dxa" w:w="100"/>
            </w:tcMar>
            <w:vAlign w:val="center"/>
          </w:tcPr>
          <w:p>
            <w:pPr>
              <w:spacing w:after="30"/>
            </w:pPr>
            <w:r>
              <w:rPr>
                <w:color w:val="243B5A"/>
                <w:sz w:val="18"/>
                <w:szCs w:val="18"/>
              </w:rPr>
              <w:t xml:space="preserve">Your requirement</w:t>
            </w:r>
          </w:p>
          <w:p>
            <w:pPr>
              <w:spacing w:after="30"/>
            </w:pPr>
            <w:r>
              <w:rPr>
                <w:color w:val="243B5A"/>
                <w:sz w:val="18"/>
                <w:szCs w:val="18"/>
              </w:rPr>
              <w:t xml:space="preserve">General industrial</w:t>
            </w:r>
          </w:p>
          <w:p>
            <w:pPr>
              <w:spacing w:after="0"/>
            </w:pPr>
            <w:r>
              <w:rPr>
                <w:color w:val="243B5A"/>
                <w:sz w:val="18"/>
                <w:szCs w:val="18"/>
              </w:rPr>
              <w:t xml:space="preserve">Site utilities, operating hours and the demand profile are confirmed during the design review.</w:t>
            </w:r>
          </w:p>
        </w:tc>
        <w:tc>
          <w:tcPr>
            <w:tcW w:type="pct" w:w="50%"/>
            <w:shd w:fill="F1F5FA" w:val="clear"/>
            <w:tcMar>
              <w:top w:type="dxa" w:w="80"/>
              <w:left w:type="dxa" w:w="100"/>
              <w:bottom w:type="dxa" w:w="80"/>
              <w:right w:type="dxa" w:w="100"/>
            </w:tcMar>
            <w:vAlign w:val="center"/>
          </w:tcPr>
          <w:p>
            <w:pPr>
              <w:spacing w:after="30"/>
            </w:pPr>
            <w:r>
              <w:rPr>
                <w:color w:val="243B5A"/>
                <w:sz w:val="18"/>
                <w:szCs w:val="18"/>
              </w:rPr>
              <w:t xml:space="preserve">Our selection</w:t>
            </w:r>
          </w:p>
          <w:p>
            <w:pPr>
              <w:spacing w:after="30"/>
            </w:pPr>
            <w:r>
              <w:rPr>
                <w:color w:val="243B5A"/>
                <w:sz w:val="18"/>
                <w:szCs w:val="18"/>
              </w:rPr>
              <w:t xml:space="preserve">GN-150 · 50 SCFM catalog output.</w:t>
            </w:r>
          </w:p>
          <w:p>
            <w:pPr>
              <w:spacing w:after="30"/>
            </w:pPr>
            <w:r>
              <w:rPr>
                <w:color w:val="243B5A"/>
                <w:sz w:val="18"/>
                <w:szCs w:val="18"/>
              </w:rPr>
              <w:t xml:space="preserve">Up to 100 psig outlet pressure.</w:t>
            </w:r>
          </w:p>
          <w:p>
            <w:pPr>
              <w:spacing w:after="0"/>
            </w:pPr>
            <w:r>
              <w:rPr>
                <w:color w:val="243B5A"/>
                <w:sz w:val="18"/>
                <w:szCs w:val="18"/>
              </w:rPr>
              <w:t xml:space="preserve">Ready for shipment: 9 weeks from order</w:t>
            </w:r>
          </w:p>
        </w:tc>
      </w:tr>
    </w:tbl>
    <w:p>
      <w:pPr>
        <w:spacing w:after="65" w:line="260" w:lineRule="atLeast"/>
      </w:pPr>
      <w:r>
        <w:rPr>
          <w:b/>
          <w:bCs/>
          <w:color w:val="102E4F"/>
          <w:sz w:val="22"/>
          <w:szCs w:val="22"/>
        </w:rPr>
        <w:t xml:space="preserve">WHAT’S INCLUDED</w:t>
      </w:r>
    </w:p>
    <w:p>
      <w:pPr>
        <w:spacing w:after="100" w:line="230" w:lineRule="atLeast"/>
      </w:pPr>
      <w:r>
        <w:rPr>
          <w:color w:val="243B5A"/>
          <w:sz w:val="18"/>
          <w:szCs w:val="18"/>
        </w:rPr>
        <w:t xml:space="preserve">1 × Air compressor (KRSD-100); 1 × Air dryer (Safe Equip Refrigerated Air Dryer 500 CFM); 1 × Filters (CE-500-CTAH); 1 × Air tank (Vertical Air Tank 660 US gal); 1 × Nitrogen PSA generator (GN-150); 1 × Nitrogen process tank (Vertical Air Tank 240 US gal); 1 × Nitrogen buffer tank (Vertical Air Tank 240 US gal).</w:t>
      </w:r>
    </w:p>
    <w:tbl>
      <w:tblPr>
        <w:tblW w:type="pct" w:w="100%"/>
        <w:tblBorders>
          <w:top w:val="single" w:color="CAD7E8" w:sz="10"/>
          <w:left w:val="single" w:color="CAD7E8" w:sz="10"/>
          <w:bottom w:val="single" w:color="CAD7E8" w:sz="10"/>
          <w:right w:val="single" w:color="CAD7E8" w:sz="10"/>
          <w:insideH w:val="single" w:color="auto" w:sz="4"/>
          <w:insideV w:val="single" w:color="auto" w:sz="4"/>
        </w:tblBorders>
      </w:tblPr>
      <w:tblGrid>
        <w:gridCol w:w="100"/>
      </w:tblGrid>
      <w:tr>
        <w:tc>
          <w:tcPr>
            <w:tcW w:type="pct" w:w="100%"/>
            <w:shd w:fill="F1F5FA" w:val="clear"/>
            <w:tcMar>
              <w:top w:type="dxa" w:w="120"/>
              <w:left w:type="dxa" w:w="150"/>
              <w:bottom w:type="dxa" w:w="120"/>
              <w:right w:type="dxa" w:w="150"/>
            </w:tcMar>
          </w:tcPr>
          <w:p>
            <w:pPr>
              <w:spacing w:after="45" w:line="220" w:lineRule="atLeast"/>
            </w:pPr>
            <w:r>
              <w:rPr>
                <w:b/>
                <w:bCs/>
                <w:color w:val="102E4F"/>
                <w:sz w:val="22"/>
                <w:szCs w:val="22"/>
              </w:rPr>
              <w:t xml:space="preserve">Budgetary investment · tax excluded</w:t>
            </w:r>
          </w:p>
          <w:p>
            <w:pPr>
              <w:spacing w:after="0" w:line="235" w:lineRule="atLeast"/>
            </w:pPr>
            <w:r>
              <w:rPr>
                <w:color w:val="243B5A"/>
                <w:sz w:val="18"/>
                <w:szCs w:val="18"/>
              </w:rPr>
              <w:t xml:space="preserve">$146,650
Equipment payments: $43,995 / $58,660 / $43,995 · Order / factory ready / before shipment</w:t>
            </w:r>
          </w:p>
        </w:tc>
      </w:tr>
    </w:tbl>
    <w:p>
      <w:pPr>
        <w:spacing w:after="45" w:line="260" w:lineRule="atLeast"/>
      </w:pPr>
      <w:r>
        <w:rPr>
          <w:color w:val="243B5A"/>
          <w:sz w:val="20"/>
          <w:szCs w:val="20"/>
        </w:rPr>
        <w:t xml:space="preserve"/>
      </w:r>
    </w:p>
    <w:tbl>
      <w:tblPr>
        <w:tblW w:type="pct" w:w="100%"/>
        <w:tblBorders>
          <w:top w:val="single" w:color="FF5A00" w:sz="10"/>
          <w:left w:val="single" w:color="FF5A00" w:sz="10"/>
          <w:bottom w:val="single" w:color="FF5A00" w:sz="10"/>
          <w:right w:val="single" w:color="FF5A00" w:sz="10"/>
          <w:insideH w:val="single" w:color="auto" w:sz="4"/>
          <w:insideV w:val="single" w:color="auto" w:sz="4"/>
        </w:tblBorders>
      </w:tblPr>
      <w:tblGrid>
        <w:gridCol w:w="100"/>
      </w:tblGrid>
      <w:tr>
        <w:tc>
          <w:tcPr>
            <w:tcW w:type="pct" w:w="100%"/>
            <w:shd w:fill="FFF1E8" w:val="clear"/>
            <w:tcMar>
              <w:top w:type="dxa" w:w="120"/>
              <w:left w:type="dxa" w:w="150"/>
              <w:bottom w:type="dxa" w:w="120"/>
              <w:right w:type="dxa" w:w="150"/>
            </w:tcMar>
          </w:tcPr>
          <w:p>
            <w:pPr>
              <w:spacing w:after="45" w:line="220" w:lineRule="atLeast"/>
            </w:pPr>
            <w:r>
              <w:rPr>
                <w:b/>
                <w:bCs/>
                <w:color w:val="102E4F"/>
                <w:sz w:val="22"/>
                <w:szCs w:val="22"/>
              </w:rPr>
              <w:t xml:space="preserve">Next step — design confirmation review</w:t>
            </w:r>
          </w:p>
          <w:p>
            <w:pPr>
              <w:spacing w:after="0" w:line="235" w:lineRule="atLeast"/>
            </w:pPr>
            <w:r>
              <w:rPr>
                <w:color w:val="243B5A"/>
                <w:sz w:val="18"/>
                <w:szCs w:val="18"/>
              </w:rPr>
              <w:t xml:space="preserve">Confirm site layout, utilities, point-of-use pressure and the project schedule before the final order.</w:t>
            </w:r>
          </w:p>
        </w:tc>
      </w:tr>
    </w:tbl>
    <w:p>
      <w:r>
        <w:br w:type="page"/>
      </w:r>
    </w:p>
    <w:p>
      <w:pPr>
        <w:spacing w:after="45" w:line="200" w:lineRule="atLeast"/>
      </w:pPr>
      <w:r>
        <w:rPr>
          <w:b/>
          <w:bCs/>
          <w:color w:val="FF5A00"/>
          <w:sz w:val="16"/>
          <w:szCs w:val="16"/>
        </w:rPr>
        <w:t xml:space="preserve">03 · THE COMPLETE SOLUTION</w:t>
      </w:r>
    </w:p>
    <w:p>
      <w:pPr>
        <w:spacing w:after="65" w:line="470" w:lineRule="atLeast"/>
      </w:pPr>
      <w:r>
        <w:rPr>
          <w:b/>
          <w:bCs/>
          <w:color w:val="102E4F"/>
          <w:sz w:val="44"/>
          <w:szCs w:val="44"/>
        </w:rPr>
        <w:t xml:space="preserve">Your nitrogen system</w:t>
      </w:r>
    </w:p>
    <w:p>
      <w:pPr>
        <w:spacing w:after="100" w:line="250" w:lineRule="atLeast"/>
      </w:pPr>
      <w:r>
        <w:rPr>
          <w:color w:val="64748B"/>
          <w:sz w:val="20"/>
          <w:szCs w:val="20"/>
        </w:rPr>
        <w:t xml:space="preserve">Every included component is visible; exclusions are made explicit before order.</w:t>
      </w:r>
    </w:p>
    <w:p>
      <w:pPr>
        <w:spacing w:after="55" w:line="260" w:lineRule="atLeast"/>
        <w:jc w:val="center"/>
      </w:pPr>
      <w:r>
        <w:rPr>
          <w:b/>
          <w:bCs/>
          <w:color w:val="FF5A00"/>
          <w:sz w:val="22"/>
          <w:szCs w:val="22"/>
        </w:rPr>
        <w:t xml:space="preserve">Complete nitrogen station · all primary process-train components included.</w:t>
      </w:r>
    </w:p>
    <w:p>
      <w:pPr>
        <w:spacing w:after="70"/>
        <w:jc w:val="center"/>
      </w:pPr>
      <w:r>
        <w:drawing>
          <wp:inline distT="0" distB="0" distL="0" distR="0">
            <wp:extent cx="5905500" cy="2324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2324100"/>
                    </a:xfrm>
                    <a:prstGeom prst="rect">
                      <a:avLst/>
                    </a:prstGeom>
                  </pic:spPr>
                </pic:pic>
              </a:graphicData>
            </a:graphic>
          </wp:inline>
        </w:drawing>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14"/>
        <w:gridCol w:w="14"/>
        <w:gridCol w:w="14"/>
        <w:gridCol w:w="14"/>
        <w:gridCol w:w="14"/>
        <w:gridCol w:w="15"/>
        <w:gridCol w:w="15"/>
      </w:tblGrid>
      <w:tr>
        <w:trPr>
          <w:cantSplit/>
        </w:trPr>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01</w:t>
            </w:r>
          </w:p>
          <w:p>
            <w:pPr>
              <w:spacing w:after="0"/>
            </w:pPr>
            <w:r>
              <w:rPr>
                <w:b/>
                <w:bCs/>
                <w:color w:val="102E4F"/>
                <w:sz w:val="14"/>
                <w:szCs w:val="14"/>
              </w:rPr>
              <w:t xml:space="preserve">Air compressor</w:t>
            </w:r>
          </w:p>
        </w:tc>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02</w:t>
            </w:r>
          </w:p>
          <w:p>
            <w:pPr>
              <w:spacing w:after="0"/>
            </w:pPr>
            <w:r>
              <w:rPr>
                <w:b/>
                <w:bCs/>
                <w:color w:val="102E4F"/>
                <w:sz w:val="14"/>
                <w:szCs w:val="14"/>
              </w:rPr>
              <w:t xml:space="preserve">Air dryer</w:t>
            </w:r>
          </w:p>
        </w:tc>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03</w:t>
            </w:r>
          </w:p>
          <w:p>
            <w:pPr>
              <w:spacing w:after="0"/>
            </w:pPr>
            <w:r>
              <w:rPr>
                <w:b/>
                <w:bCs/>
                <w:color w:val="102E4F"/>
                <w:sz w:val="14"/>
                <w:szCs w:val="14"/>
              </w:rPr>
              <w:t xml:space="preserve">Filters</w:t>
            </w:r>
          </w:p>
        </w:tc>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04</w:t>
            </w:r>
          </w:p>
          <w:p>
            <w:pPr>
              <w:spacing w:after="0"/>
            </w:pPr>
            <w:r>
              <w:rPr>
                <w:b/>
                <w:bCs/>
                <w:color w:val="102E4F"/>
                <w:sz w:val="14"/>
                <w:szCs w:val="14"/>
              </w:rPr>
              <w:t xml:space="preserve">Air tank</w:t>
            </w:r>
          </w:p>
        </w:tc>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05</w:t>
            </w:r>
          </w:p>
          <w:p>
            <w:pPr>
              <w:spacing w:after="0"/>
            </w:pPr>
            <w:r>
              <w:rPr>
                <w:b/>
                <w:bCs/>
                <w:color w:val="102E4F"/>
                <w:sz w:val="14"/>
                <w:szCs w:val="14"/>
              </w:rPr>
              <w:t xml:space="preserve">PSA nitrogen generator</w:t>
            </w:r>
          </w:p>
        </w:tc>
        <w:tc>
          <w:tcPr>
            <w:tcW w:type="pct" w:w="15%"/>
            <w:shd w:fill="F1F5FA" w:val="clear"/>
            <w:tcMar>
              <w:top w:type="dxa" w:w="80"/>
              <w:left w:type="dxa" w:w="100"/>
              <w:bottom w:type="dxa" w:w="80"/>
              <w:right w:type="dxa" w:w="100"/>
            </w:tcMar>
            <w:vAlign w:val="center"/>
          </w:tcPr>
          <w:p>
            <w:pPr>
              <w:spacing w:after="30"/>
            </w:pPr>
            <w:r>
              <w:rPr>
                <w:b/>
                <w:bCs/>
                <w:color w:val="102E4F"/>
                <w:sz w:val="14"/>
                <w:szCs w:val="14"/>
              </w:rPr>
              <w:t xml:space="preserve">06</w:t>
            </w:r>
          </w:p>
          <w:p>
            <w:pPr>
              <w:spacing w:after="0"/>
            </w:pPr>
            <w:r>
              <w:rPr>
                <w:b/>
                <w:bCs/>
                <w:color w:val="102E4F"/>
                <w:sz w:val="14"/>
                <w:szCs w:val="14"/>
              </w:rPr>
              <w:t xml:space="preserve">Nitrogen process tank</w:t>
            </w:r>
          </w:p>
        </w:tc>
        <w:tc>
          <w:tcPr>
            <w:tcW w:type="pct" w:w="15%"/>
            <w:shd w:fill="F1F5FA" w:val="clear"/>
            <w:tcMar>
              <w:top w:type="dxa" w:w="80"/>
              <w:left w:type="dxa" w:w="100"/>
              <w:bottom w:type="dxa" w:w="80"/>
              <w:right w:type="dxa" w:w="100"/>
            </w:tcMar>
            <w:vAlign w:val="center"/>
          </w:tcPr>
          <w:p>
            <w:pPr>
              <w:spacing w:after="30"/>
            </w:pPr>
            <w:r>
              <w:rPr>
                <w:b/>
                <w:bCs/>
                <w:color w:val="102E4F"/>
                <w:sz w:val="14"/>
                <w:szCs w:val="14"/>
              </w:rPr>
              <w:t xml:space="preserve">07</w:t>
            </w:r>
          </w:p>
          <w:p>
            <w:pPr>
              <w:spacing w:after="0"/>
            </w:pPr>
            <w:r>
              <w:rPr>
                <w:b/>
                <w:bCs/>
                <w:color w:val="102E4F"/>
                <w:sz w:val="14"/>
                <w:szCs w:val="14"/>
              </w:rPr>
              <w:t xml:space="preserve">Nitrogen buffer tank</w:t>
            </w:r>
          </w:p>
        </w:tc>
      </w:tr>
    </w:tbl>
    <w:p>
      <w:pPr>
        <w:spacing w:after="55" w:line="260" w:lineRule="atLeast"/>
      </w:pPr>
      <w:r>
        <w:rPr>
          <w:color w:val="243B5A"/>
          <w:sz w:val="20"/>
          <w:szCs w:val="20"/>
        </w:rPr>
        <w:t xml:space="preserve"/>
      </w:r>
    </w:p>
    <w:tbl>
      <w:tblPr>
        <w:tblW w:type="pct" w:w="100%"/>
        <w:tblBorders>
          <w:top w:val="single" w:color="CAD7E8" w:sz="10"/>
          <w:left w:val="single" w:color="CAD7E8" w:sz="10"/>
          <w:bottom w:val="single" w:color="CAD7E8" w:sz="10"/>
          <w:right w:val="single" w:color="CAD7E8" w:sz="10"/>
          <w:insideH w:val="single" w:color="auto" w:sz="4"/>
          <w:insideV w:val="single" w:color="auto" w:sz="4"/>
        </w:tblBorders>
      </w:tblPr>
      <w:tblGrid>
        <w:gridCol w:w="100"/>
      </w:tblGrid>
      <w:tr>
        <w:tc>
          <w:tcPr>
            <w:tcW w:type="pct" w:w="100%"/>
            <w:shd w:fill="F1F5FA" w:val="clear"/>
            <w:tcMar>
              <w:top w:type="dxa" w:w="120"/>
              <w:left w:type="dxa" w:w="150"/>
              <w:bottom w:type="dxa" w:w="120"/>
              <w:right w:type="dxa" w:w="150"/>
            </w:tcMar>
          </w:tcPr>
          <w:p>
            <w:pPr>
              <w:spacing w:after="45" w:line="220" w:lineRule="atLeast"/>
            </w:pPr>
            <w:r>
              <w:rPr>
                <w:b/>
                <w:bCs/>
                <w:color w:val="102E4F"/>
                <w:sz w:val="22"/>
                <w:szCs w:val="22"/>
              </w:rPr>
              <w:t xml:space="preserve">Scope boundary is visible before purchase</w:t>
            </w:r>
          </w:p>
          <w:p>
            <w:pPr>
              <w:spacing w:after="0" w:line="235" w:lineRule="atLeast"/>
            </w:pPr>
            <w:r>
              <w:rPr>
                <w:color w:val="243B5A"/>
                <w:sz w:val="18"/>
                <w:szCs w:val="18"/>
              </w:rPr>
              <w:t xml:space="preserve">Gray equipment remains visible to preserve the process context when it is not included. Final battery limits, customer connections, and optional services are frozen during the Design Confirmation Review.</w:t>
            </w:r>
          </w:p>
        </w:tc>
      </w:tr>
    </w:tbl>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50"/>
        <w:gridCol w:w="50"/>
      </w:tblGrid>
      <w:tr>
        <w:trPr>
          <w:cantSplit/>
        </w:trPr>
        <w:tc>
          <w:tcPr>
            <w:tcW w:type="pct" w:w="50%"/>
            <w:shd w:fill="F1F5FA" w:val="clear"/>
            <w:tcMar>
              <w:top w:type="dxa" w:w="80"/>
              <w:left w:type="dxa" w:w="100"/>
              <w:bottom w:type="dxa" w:w="80"/>
              <w:right w:type="dxa" w:w="100"/>
            </w:tcMar>
            <w:vAlign w:val="center"/>
          </w:tcPr>
          <w:p>
            <w:pPr>
              <w:spacing w:after="30"/>
            </w:pPr>
            <w:r>
              <w:rPr>
                <w:color w:val="243B5A"/>
                <w:sz w:val="18"/>
                <w:szCs w:val="18"/>
              </w:rPr>
              <w:t xml:space="preserve">Air preparation</w:t>
            </w:r>
          </w:p>
          <w:p>
            <w:pPr>
              <w:spacing w:after="0"/>
            </w:pPr>
            <w:r>
              <w:rPr>
                <w:color w:val="243B5A"/>
                <w:sz w:val="18"/>
                <w:szCs w:val="18"/>
              </w:rPr>
              <w:t xml:space="preserve">The compressor, dryer, filters and air tank prepare the compressed-air feed required by the PSA.</w:t>
            </w:r>
          </w:p>
        </w:tc>
        <w:tc>
          <w:tcPr>
            <w:tcW w:type="pct" w:w="50%"/>
            <w:shd w:fill="F1F5FA" w:val="clear"/>
            <w:tcMar>
              <w:top w:type="dxa" w:w="80"/>
              <w:left w:type="dxa" w:w="100"/>
              <w:bottom w:type="dxa" w:w="80"/>
              <w:right w:type="dxa" w:w="100"/>
            </w:tcMar>
            <w:vAlign w:val="center"/>
          </w:tcPr>
          <w:p>
            <w:pPr>
              <w:spacing w:after="30"/>
            </w:pPr>
            <w:r>
              <w:rPr>
                <w:color w:val="243B5A"/>
                <w:sz w:val="18"/>
                <w:szCs w:val="18"/>
              </w:rPr>
              <w:t xml:space="preserve">Generation and storage</w:t>
            </w:r>
          </w:p>
          <w:p>
            <w:pPr>
              <w:spacing w:after="0"/>
            </w:pPr>
            <w:r>
              <w:rPr>
                <w:color w:val="243B5A"/>
                <w:sz w:val="18"/>
                <w:szCs w:val="18"/>
              </w:rPr>
              <w:t xml:space="preserve">The process tank supports analysis of generated nitrogen. The separate buffer tank stores qualified nitrogen for the customer.</w:t>
            </w:r>
          </w:p>
        </w:tc>
      </w:tr>
    </w:tbl>
    <w:p>
      <w:r>
        <w:br w:type="page"/>
      </w:r>
    </w:p>
    <w:p>
      <w:pPr>
        <w:spacing w:after="45" w:line="200" w:lineRule="atLeast"/>
      </w:pPr>
      <w:r>
        <w:rPr>
          <w:b/>
          <w:bCs/>
          <w:color w:val="FF5A00"/>
          <w:sz w:val="16"/>
          <w:szCs w:val="16"/>
        </w:rPr>
        <w:t xml:space="preserve">04 · OPERATING POINT</w:t>
      </w:r>
    </w:p>
    <w:p>
      <w:pPr>
        <w:spacing w:after="65" w:line="470" w:lineRule="atLeast"/>
      </w:pPr>
      <w:r>
        <w:rPr>
          <w:b/>
          <w:bCs/>
          <w:color w:val="102E4F"/>
          <w:sz w:val="44"/>
          <w:szCs w:val="44"/>
        </w:rPr>
        <w:t xml:space="preserve">A defined operating point</w:t>
      </w:r>
    </w:p>
    <w:p>
      <w:pPr>
        <w:spacing w:after="100" w:line="250" w:lineRule="atLeast"/>
      </w:pPr>
      <w:r>
        <w:rPr>
          <w:color w:val="64748B"/>
          <w:sz w:val="20"/>
          <w:szCs w:val="20"/>
        </w:rPr>
        <w:t xml:space="preserve">Catalog values are separated from contractual guarantees and tied to explicit test conditions.</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46"/>
        <w:gridCol w:w="54"/>
      </w:tblGrid>
      <w:tr>
        <w:trPr>
          <w:cantSplit/>
        </w:trPr>
        <w:tc>
          <w:tcPr>
            <w:tcW w:type="pct" w:w="46%"/>
            <w:shd w:fill="F1F5FA" w:val="clear"/>
            <w:tcMar>
              <w:top w:type="dxa" w:w="80"/>
              <w:left w:type="dxa" w:w="100"/>
              <w:bottom w:type="dxa" w:w="80"/>
              <w:right w:type="dxa" w:w="100"/>
            </w:tcMar>
            <w:vAlign w:val="center"/>
          </w:tcPr>
          <w:p>
            <w:pPr>
              <w:spacing w:after="0"/>
            </w:pPr>
            <w:r>
              <w:rPr>
                <w:color w:val="243B5A"/>
                <w:sz w:val="18"/>
                <w:szCs w:val="18"/>
              </w:rPr>
              <w:t xml:space="preserve">Generator model</w:t>
            </w:r>
          </w:p>
        </w:tc>
        <w:tc>
          <w:tcPr>
            <w:tcW w:type="pct" w:w="54%"/>
            <w:shd w:fill="F1F5FA" w:val="clear"/>
            <w:tcMar>
              <w:top w:type="dxa" w:w="80"/>
              <w:left w:type="dxa" w:w="100"/>
              <w:bottom w:type="dxa" w:w="80"/>
              <w:right w:type="dxa" w:w="100"/>
            </w:tcMar>
            <w:vAlign w:val="center"/>
          </w:tcPr>
          <w:p>
            <w:pPr>
              <w:spacing w:after="0"/>
            </w:pPr>
            <w:r>
              <w:rPr>
                <w:color w:val="243B5A"/>
                <w:sz w:val="18"/>
                <w:szCs w:val="18"/>
              </w:rPr>
              <w:t xml:space="preserve">GN-150</w:t>
            </w:r>
          </w:p>
        </w:tc>
      </w:tr>
      <w:tr>
        <w:trPr>
          <w:cantSplit/>
        </w:trPr>
        <w:tc>
          <w:tcPr>
            <w:tcW w:type="pct" w:w="46%"/>
            <w:shd w:fill="FFFFFF" w:val="clear"/>
            <w:tcMar>
              <w:top w:type="dxa" w:w="80"/>
              <w:left w:type="dxa" w:w="100"/>
              <w:bottom w:type="dxa" w:w="80"/>
              <w:right w:type="dxa" w:w="100"/>
            </w:tcMar>
            <w:vAlign w:val="center"/>
          </w:tcPr>
          <w:p>
            <w:pPr>
              <w:spacing w:after="0"/>
            </w:pPr>
            <w:r>
              <w:rPr>
                <w:color w:val="243B5A"/>
                <w:sz w:val="18"/>
                <w:szCs w:val="18"/>
              </w:rPr>
              <w:t xml:space="preserve">Selected nitrogen purity</w:t>
            </w:r>
          </w:p>
        </w:tc>
        <w:tc>
          <w:tcPr>
            <w:tcW w:type="pct" w:w="54%"/>
            <w:shd w:fill="FFFFFF" w:val="clear"/>
            <w:tcMar>
              <w:top w:type="dxa" w:w="80"/>
              <w:left w:type="dxa" w:w="100"/>
              <w:bottom w:type="dxa" w:w="80"/>
              <w:right w:type="dxa" w:w="100"/>
            </w:tcMar>
            <w:vAlign w:val="center"/>
          </w:tcPr>
          <w:p>
            <w:pPr>
              <w:spacing w:after="0"/>
            </w:pPr>
            <w:r>
              <w:rPr>
                <w:color w:val="243B5A"/>
                <w:sz w:val="18"/>
                <w:szCs w:val="18"/>
              </w:rPr>
              <w:t xml:space="preserve">99.99%</w:t>
            </w:r>
          </w:p>
        </w:tc>
      </w:tr>
      <w:tr>
        <w:trPr>
          <w:cantSplit/>
        </w:trPr>
        <w:tc>
          <w:tcPr>
            <w:tcW w:type="pct" w:w="46%"/>
            <w:shd w:fill="F1F5FA" w:val="clear"/>
            <w:tcMar>
              <w:top w:type="dxa" w:w="80"/>
              <w:left w:type="dxa" w:w="100"/>
              <w:bottom w:type="dxa" w:w="80"/>
              <w:right w:type="dxa" w:w="100"/>
            </w:tcMar>
            <w:vAlign w:val="center"/>
          </w:tcPr>
          <w:p>
            <w:pPr>
              <w:spacing w:after="0"/>
            </w:pPr>
            <w:r>
              <w:rPr>
                <w:color w:val="243B5A"/>
                <w:sz w:val="18"/>
                <w:szCs w:val="18"/>
              </w:rPr>
              <w:t xml:space="preserve">Nitrogen capacity</w:t>
            </w:r>
          </w:p>
        </w:tc>
        <w:tc>
          <w:tcPr>
            <w:tcW w:type="pct" w:w="54%"/>
            <w:shd w:fill="F1F5FA" w:val="clear"/>
            <w:tcMar>
              <w:top w:type="dxa" w:w="80"/>
              <w:left w:type="dxa" w:w="100"/>
              <w:bottom w:type="dxa" w:w="80"/>
              <w:right w:type="dxa" w:w="100"/>
            </w:tcMar>
            <w:vAlign w:val="center"/>
          </w:tcPr>
          <w:p>
            <w:pPr>
              <w:spacing w:after="0"/>
            </w:pPr>
            <w:r>
              <w:rPr>
                <w:color w:val="243B5A"/>
                <w:sz w:val="18"/>
                <w:szCs w:val="18"/>
              </w:rPr>
              <w:t xml:space="preserve">50 SCFM</w:t>
            </w:r>
          </w:p>
        </w:tc>
      </w:tr>
      <w:tr>
        <w:trPr>
          <w:cantSplit/>
        </w:trPr>
        <w:tc>
          <w:tcPr>
            <w:tcW w:type="pct" w:w="46%"/>
            <w:shd w:fill="FFFFFF" w:val="clear"/>
            <w:tcMar>
              <w:top w:type="dxa" w:w="80"/>
              <w:left w:type="dxa" w:w="100"/>
              <w:bottom w:type="dxa" w:w="80"/>
              <w:right w:type="dxa" w:w="100"/>
            </w:tcMar>
            <w:vAlign w:val="center"/>
          </w:tcPr>
          <w:p>
            <w:pPr>
              <w:spacing w:after="0"/>
            </w:pPr>
            <w:r>
              <w:rPr>
                <w:color w:val="243B5A"/>
                <w:sz w:val="18"/>
                <w:szCs w:val="18"/>
              </w:rPr>
              <w:t xml:space="preserve">Requested nitrogen flow</w:t>
            </w:r>
          </w:p>
        </w:tc>
        <w:tc>
          <w:tcPr>
            <w:tcW w:type="pct" w:w="54%"/>
            <w:shd w:fill="FFFFFF" w:val="clear"/>
            <w:tcMar>
              <w:top w:type="dxa" w:w="80"/>
              <w:left w:type="dxa" w:w="100"/>
              <w:bottom w:type="dxa" w:w="80"/>
              <w:right w:type="dxa" w:w="100"/>
            </w:tcMar>
            <w:vAlign w:val="center"/>
          </w:tcPr>
          <w:p>
            <w:pPr>
              <w:spacing w:after="0"/>
            </w:pPr>
            <w:r>
              <w:rPr>
                <w:color w:val="243B5A"/>
                <w:sz w:val="18"/>
                <w:szCs w:val="18"/>
              </w:rPr>
              <w:t xml:space="preserve">50 SCFM</w:t>
            </w:r>
          </w:p>
        </w:tc>
      </w:tr>
      <w:tr>
        <w:trPr>
          <w:cantSplit/>
        </w:trPr>
        <w:tc>
          <w:tcPr>
            <w:tcW w:type="pct" w:w="46%"/>
            <w:shd w:fill="F1F5FA" w:val="clear"/>
            <w:tcMar>
              <w:top w:type="dxa" w:w="80"/>
              <w:left w:type="dxa" w:w="100"/>
              <w:bottom w:type="dxa" w:w="80"/>
              <w:right w:type="dxa" w:w="100"/>
            </w:tcMar>
            <w:vAlign w:val="center"/>
          </w:tcPr>
          <w:p>
            <w:pPr>
              <w:spacing w:after="0"/>
            </w:pPr>
            <w:r>
              <w:rPr>
                <w:color w:val="243B5A"/>
                <w:sz w:val="18"/>
                <w:szCs w:val="18"/>
              </w:rPr>
              <w:t xml:space="preserve">Required compressed air</w:t>
            </w:r>
          </w:p>
        </w:tc>
        <w:tc>
          <w:tcPr>
            <w:tcW w:type="pct" w:w="54%"/>
            <w:shd w:fill="F1F5FA" w:val="clear"/>
            <w:tcMar>
              <w:top w:type="dxa" w:w="80"/>
              <w:left w:type="dxa" w:w="100"/>
              <w:bottom w:type="dxa" w:w="80"/>
              <w:right w:type="dxa" w:w="100"/>
            </w:tcMar>
            <w:vAlign w:val="center"/>
          </w:tcPr>
          <w:p>
            <w:pPr>
              <w:spacing w:after="0"/>
            </w:pPr>
            <w:r>
              <w:rPr>
                <w:color w:val="243B5A"/>
                <w:sz w:val="18"/>
                <w:szCs w:val="18"/>
              </w:rPr>
              <w:t xml:space="preserve">224 SCFM</w:t>
            </w:r>
          </w:p>
        </w:tc>
      </w:tr>
      <w:tr>
        <w:trPr>
          <w:cantSplit/>
        </w:trPr>
        <w:tc>
          <w:tcPr>
            <w:tcW w:type="pct" w:w="46%"/>
            <w:shd w:fill="FFFFFF" w:val="clear"/>
            <w:tcMar>
              <w:top w:type="dxa" w:w="80"/>
              <w:left w:type="dxa" w:w="100"/>
              <w:bottom w:type="dxa" w:w="80"/>
              <w:right w:type="dxa" w:w="100"/>
            </w:tcMar>
            <w:vAlign w:val="center"/>
          </w:tcPr>
          <w:p>
            <w:pPr>
              <w:spacing w:after="0"/>
            </w:pPr>
            <w:r>
              <w:rPr>
                <w:color w:val="243B5A"/>
                <w:sz w:val="18"/>
                <w:szCs w:val="18"/>
              </w:rPr>
              <w:t xml:space="preserve">Nitrogen outlet pressure</w:t>
            </w:r>
          </w:p>
        </w:tc>
        <w:tc>
          <w:tcPr>
            <w:tcW w:type="pct" w:w="54%"/>
            <w:shd w:fill="FFFFFF" w:val="clear"/>
            <w:tcMar>
              <w:top w:type="dxa" w:w="80"/>
              <w:left w:type="dxa" w:w="100"/>
              <w:bottom w:type="dxa" w:w="80"/>
              <w:right w:type="dxa" w:w="100"/>
            </w:tcMar>
            <w:vAlign w:val="center"/>
          </w:tcPr>
          <w:p>
            <w:pPr>
              <w:spacing w:after="0"/>
            </w:pPr>
            <w:r>
              <w:rPr>
                <w:color w:val="243B5A"/>
                <w:sz w:val="18"/>
                <w:szCs w:val="18"/>
              </w:rPr>
              <w:t xml:space="preserve">Up to 100 psig</w:t>
            </w:r>
          </w:p>
        </w:tc>
      </w:tr>
      <w:tr>
        <w:trPr>
          <w:cantSplit/>
        </w:trPr>
        <w:tc>
          <w:tcPr>
            <w:tcW w:type="pct" w:w="46%"/>
            <w:shd w:fill="F1F5FA" w:val="clear"/>
            <w:tcMar>
              <w:top w:type="dxa" w:w="80"/>
              <w:left w:type="dxa" w:w="100"/>
              <w:bottom w:type="dxa" w:w="80"/>
              <w:right w:type="dxa" w:w="100"/>
            </w:tcMar>
            <w:vAlign w:val="center"/>
          </w:tcPr>
          <w:p>
            <w:pPr>
              <w:spacing w:after="0"/>
            </w:pPr>
            <w:r>
              <w:rPr>
                <w:color w:val="243B5A"/>
                <w:sz w:val="18"/>
                <w:szCs w:val="18"/>
              </w:rPr>
              <w:t xml:space="preserve">Required inlet-air quality</w:t>
            </w:r>
          </w:p>
        </w:tc>
        <w:tc>
          <w:tcPr>
            <w:tcW w:type="pct" w:w="54%"/>
            <w:shd w:fill="F1F5FA" w:val="clear"/>
            <w:tcMar>
              <w:top w:type="dxa" w:w="80"/>
              <w:left w:type="dxa" w:w="100"/>
              <w:bottom w:type="dxa" w:w="80"/>
              <w:right w:type="dxa" w:w="100"/>
            </w:tcMar>
            <w:vAlign w:val="center"/>
          </w:tcPr>
          <w:p>
            <w:pPr>
              <w:spacing w:after="0"/>
            </w:pPr>
            <w:r>
              <w:rPr>
                <w:color w:val="243B5A"/>
                <w:sz w:val="18"/>
                <w:szCs w:val="18"/>
              </w:rPr>
              <w:t xml:space="preserve">ISO 8573-1:2010 Class 1.4.1</w:t>
            </w:r>
          </w:p>
        </w:tc>
      </w:tr>
    </w:tbl>
    <w:tbl>
      <w:tblPr>
        <w:tblW w:type="pct" w:w="100%"/>
        <w:tblBorders>
          <w:top w:val="single" w:color="FF5A00" w:sz="10"/>
          <w:left w:val="single" w:color="FF5A00" w:sz="10"/>
          <w:bottom w:val="single" w:color="FF5A00" w:sz="10"/>
          <w:right w:val="single" w:color="FF5A00" w:sz="10"/>
          <w:insideH w:val="single" w:color="auto" w:sz="4"/>
          <w:insideV w:val="single" w:color="auto" w:sz="4"/>
        </w:tblBorders>
      </w:tblPr>
      <w:tblGrid>
        <w:gridCol w:w="100"/>
      </w:tblGrid>
      <w:tr>
        <w:tc>
          <w:tcPr>
            <w:tcW w:type="pct" w:w="100%"/>
            <w:shd w:fill="FFF1E8" w:val="clear"/>
            <w:tcMar>
              <w:top w:type="dxa" w:w="120"/>
              <w:left w:type="dxa" w:w="150"/>
              <w:bottom w:type="dxa" w:w="120"/>
              <w:right w:type="dxa" w:w="150"/>
            </w:tcMar>
          </w:tcPr>
          <w:p>
            <w:pPr>
              <w:spacing w:after="45" w:line="220" w:lineRule="atLeast"/>
            </w:pPr>
            <w:r>
              <w:rPr>
                <w:b/>
                <w:bCs/>
                <w:color w:val="102E4F"/>
                <w:sz w:val="22"/>
                <w:szCs w:val="22"/>
              </w:rPr>
              <w:t xml:space="preserve">Our selection</w:t>
            </w:r>
          </w:p>
          <w:p>
            <w:pPr>
              <w:spacing w:after="0" w:line="235" w:lineRule="atLeast"/>
            </w:pPr>
            <w:r>
              <w:rPr>
                <w:color w:val="243B5A"/>
                <w:sz w:val="18"/>
                <w:szCs w:val="18"/>
              </w:rPr>
              <w:t xml:space="preserve">Ready for shipment: 9 weeks from order</w:t>
            </w:r>
          </w:p>
        </w:tc>
      </w:tr>
    </w:tbl>
    <w:p>
      <w:pPr>
        <w:spacing w:after="80" w:line="260" w:lineRule="atLeast"/>
      </w:pPr>
      <w:r>
        <w:rPr>
          <w:b/>
          <w:bCs/>
          <w:color w:val="102E4F"/>
          <w:sz w:val="23"/>
          <w:szCs w:val="23"/>
        </w:rPr>
        <w:t xml:space="preserve">PERFORMANCE BY NITROGEN PURITY</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18"/>
        <w:gridCol w:w="20"/>
        <w:gridCol w:w="20"/>
        <w:gridCol w:w="20"/>
        <w:gridCol w:w="20"/>
      </w:tblGrid>
      <w:tr>
        <w:trPr>
          <w:cantSplit/>
        </w:trPr>
        <w:tc>
          <w:tcPr>
            <w:tcW w:type="pct" w:w="18%"/>
            <w:shd w:fill="102E4F" w:val="clear"/>
            <w:tcMar>
              <w:top w:type="dxa" w:w="80"/>
              <w:left w:type="dxa" w:w="100"/>
              <w:bottom w:type="dxa" w:w="80"/>
              <w:right w:type="dxa" w:w="100"/>
            </w:tcMar>
            <w:vAlign w:val="center"/>
          </w:tcPr>
          <w:p>
            <w:pPr>
              <w:spacing w:after="0"/>
            </w:pPr>
            <w:r>
              <w:rPr>
                <w:b/>
                <w:bCs/>
                <w:color w:val="FFFFFF"/>
                <w:sz w:val="18"/>
                <w:szCs w:val="18"/>
              </w:rPr>
              <w:t xml:space="preserve">Purity</w:t>
            </w:r>
          </w:p>
        </w:tc>
        <w:tc>
          <w:tcPr>
            <w:tcW w:type="pct" w:w="20.5%"/>
            <w:shd w:fill="F1F5FA" w:val="clear"/>
            <w:tcMar>
              <w:top w:type="dxa" w:w="80"/>
              <w:left w:type="dxa" w:w="100"/>
              <w:bottom w:type="dxa" w:w="80"/>
              <w:right w:type="dxa" w:w="100"/>
            </w:tcMar>
            <w:vAlign w:val="center"/>
          </w:tcPr>
          <w:p>
            <w:pPr>
              <w:spacing w:after="0"/>
            </w:pPr>
            <w:r>
              <w:rPr>
                <w:b/>
                <w:bCs/>
                <w:color w:val="102E4F"/>
                <w:sz w:val="18"/>
                <w:szCs w:val="18"/>
              </w:rPr>
              <w:t xml:space="preserve">99%</w:t>
            </w:r>
          </w:p>
        </w:tc>
        <w:tc>
          <w:tcPr>
            <w:tcW w:type="pct" w:w="20.5%"/>
            <w:shd w:fill="F1F5FA" w:val="clear"/>
            <w:tcMar>
              <w:top w:type="dxa" w:w="80"/>
              <w:left w:type="dxa" w:w="100"/>
              <w:bottom w:type="dxa" w:w="80"/>
              <w:right w:type="dxa" w:w="100"/>
            </w:tcMar>
            <w:vAlign w:val="center"/>
          </w:tcPr>
          <w:p>
            <w:pPr>
              <w:spacing w:after="0"/>
            </w:pPr>
            <w:r>
              <w:rPr>
                <w:b/>
                <w:bCs/>
                <w:color w:val="102E4F"/>
                <w:sz w:val="18"/>
                <w:szCs w:val="18"/>
              </w:rPr>
              <w:t xml:space="preserve">99.5%</w:t>
            </w:r>
          </w:p>
        </w:tc>
        <w:tc>
          <w:tcPr>
            <w:tcW w:type="pct" w:w="20.5%"/>
            <w:shd w:fill="F1F5FA" w:val="clear"/>
            <w:tcMar>
              <w:top w:type="dxa" w:w="80"/>
              <w:left w:type="dxa" w:w="100"/>
              <w:bottom w:type="dxa" w:w="80"/>
              <w:right w:type="dxa" w:w="100"/>
            </w:tcMar>
            <w:vAlign w:val="center"/>
          </w:tcPr>
          <w:p>
            <w:pPr>
              <w:spacing w:after="0"/>
            </w:pPr>
            <w:r>
              <w:rPr>
                <w:b/>
                <w:bCs/>
                <w:color w:val="102E4F"/>
                <w:sz w:val="18"/>
                <w:szCs w:val="18"/>
              </w:rPr>
              <w:t xml:space="preserve">99.9%</w:t>
            </w:r>
          </w:p>
        </w:tc>
        <w:tc>
          <w:tcPr>
            <w:tcW w:type="pct" w:w="20.5%"/>
            <w:shd w:fill="F1F5FA" w:val="clear"/>
            <w:tcMar>
              <w:top w:type="dxa" w:w="80"/>
              <w:left w:type="dxa" w:w="100"/>
              <w:bottom w:type="dxa" w:w="80"/>
              <w:right w:type="dxa" w:w="100"/>
            </w:tcMar>
            <w:vAlign w:val="center"/>
          </w:tcPr>
          <w:p>
            <w:pPr>
              <w:spacing w:after="0"/>
            </w:pPr>
            <w:r>
              <w:rPr>
                <w:b/>
                <w:bCs/>
                <w:color w:val="102E4F"/>
                <w:sz w:val="18"/>
                <w:szCs w:val="18"/>
              </w:rPr>
              <w:t xml:space="preserve">99.95%</w:t>
            </w:r>
          </w:p>
        </w:tc>
      </w:tr>
      <w:tr>
        <w:trPr>
          <w:cantSplit/>
        </w:trPr>
        <w:tc>
          <w:tcPr>
            <w:tcW w:type="pct" w:w="18%"/>
            <w:shd w:fill="F1F5FA" w:val="clear"/>
            <w:tcMar>
              <w:top w:type="dxa" w:w="80"/>
              <w:left w:type="dxa" w:w="100"/>
              <w:bottom w:type="dxa" w:w="80"/>
              <w:right w:type="dxa" w:w="100"/>
            </w:tcMar>
            <w:vAlign w:val="center"/>
          </w:tcPr>
          <w:p>
            <w:pPr>
              <w:spacing w:after="0"/>
            </w:pPr>
            <w:r>
              <w:rPr>
                <w:b/>
                <w:bCs/>
                <w:color w:val="243B5A"/>
                <w:sz w:val="18"/>
                <w:szCs w:val="18"/>
              </w:rPr>
              <w:t xml:space="preserve">N2 flow, SCFM</w:t>
            </w:r>
          </w:p>
        </w:tc>
        <w:tc>
          <w:tcPr>
            <w:tcW w:type="pct" w:w="20.5%"/>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124</w:t>
            </w:r>
          </w:p>
        </w:tc>
        <w:tc>
          <w:tcPr>
            <w:tcW w:type="pct" w:w="20.5%"/>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93</w:t>
            </w:r>
          </w:p>
        </w:tc>
        <w:tc>
          <w:tcPr>
            <w:tcW w:type="pct" w:w="20.5%"/>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62</w:t>
            </w:r>
          </w:p>
        </w:tc>
        <w:tc>
          <w:tcPr>
            <w:tcW w:type="pct" w:w="20.5%"/>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56</w:t>
            </w:r>
          </w:p>
        </w:tc>
      </w:tr>
      <w:tr>
        <w:trPr>
          <w:cantSplit/>
        </w:trPr>
        <w:tc>
          <w:tcPr>
            <w:tcW w:type="pct" w:w="18%"/>
            <w:shd w:fill="F1F5FA" w:val="clear"/>
            <w:tcMar>
              <w:top w:type="dxa" w:w="80"/>
              <w:left w:type="dxa" w:w="100"/>
              <w:bottom w:type="dxa" w:w="80"/>
              <w:right w:type="dxa" w:w="100"/>
            </w:tcMar>
            <w:vAlign w:val="center"/>
          </w:tcPr>
          <w:p>
            <w:pPr>
              <w:spacing w:after="0"/>
            </w:pPr>
            <w:r>
              <w:rPr>
                <w:b/>
                <w:bCs/>
                <w:color w:val="243B5A"/>
                <w:sz w:val="18"/>
                <w:szCs w:val="18"/>
              </w:rPr>
              <w:t xml:space="preserve">Air feed, SCFM</w:t>
            </w:r>
          </w:p>
        </w:tc>
        <w:tc>
          <w:tcPr>
            <w:tcW w:type="pct" w:w="20.5%"/>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274</w:t>
            </w:r>
          </w:p>
        </w:tc>
        <w:tc>
          <w:tcPr>
            <w:tcW w:type="pct" w:w="20.5%"/>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233</w:t>
            </w:r>
          </w:p>
        </w:tc>
        <w:tc>
          <w:tcPr>
            <w:tcW w:type="pct" w:w="20.5%"/>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193</w:t>
            </w:r>
          </w:p>
        </w:tc>
        <w:tc>
          <w:tcPr>
            <w:tcW w:type="pct" w:w="20.5%"/>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213</w:t>
            </w:r>
          </w:p>
        </w:tc>
      </w:tr>
    </w:tbl>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18"/>
        <w:gridCol w:w="27"/>
        <w:gridCol w:w="27"/>
        <w:gridCol w:w="27"/>
      </w:tblGrid>
      <w:tr>
        <w:trPr>
          <w:cantSplit/>
        </w:trPr>
        <w:tc>
          <w:tcPr>
            <w:tcW w:type="pct" w:w="18%"/>
            <w:shd w:fill="102E4F" w:val="clear"/>
            <w:tcMar>
              <w:top w:type="dxa" w:w="80"/>
              <w:left w:type="dxa" w:w="100"/>
              <w:bottom w:type="dxa" w:w="80"/>
              <w:right w:type="dxa" w:w="100"/>
            </w:tcMar>
            <w:vAlign w:val="center"/>
          </w:tcPr>
          <w:p>
            <w:pPr>
              <w:spacing w:after="0"/>
            </w:pPr>
            <w:r>
              <w:rPr>
                <w:b/>
                <w:bCs/>
                <w:color w:val="FFFFFF"/>
                <w:sz w:val="18"/>
                <w:szCs w:val="18"/>
              </w:rPr>
              <w:t xml:space="preserve">Purity</w:t>
            </w:r>
          </w:p>
        </w:tc>
        <w:tc>
          <w:tcPr>
            <w:tcW w:type="pct" w:w="27.333333333333332%"/>
            <w:shd w:fill="FF5A00" w:val="clear"/>
            <w:tcMar>
              <w:top w:type="dxa" w:w="80"/>
              <w:left w:type="dxa" w:w="100"/>
              <w:bottom w:type="dxa" w:w="80"/>
              <w:right w:type="dxa" w:w="100"/>
            </w:tcMar>
            <w:vAlign w:val="center"/>
          </w:tcPr>
          <w:p>
            <w:pPr>
              <w:spacing w:after="0"/>
            </w:pPr>
            <w:r>
              <w:rPr>
                <w:b/>
                <w:bCs/>
                <w:color w:val="FFFFFF"/>
                <w:sz w:val="18"/>
                <w:szCs w:val="18"/>
              </w:rPr>
              <w:t xml:space="preserve">99.99%</w:t>
            </w:r>
          </w:p>
        </w:tc>
        <w:tc>
          <w:tcPr>
            <w:tcW w:type="pct" w:w="27.333333333333332%"/>
            <w:shd w:fill="F1F5FA" w:val="clear"/>
            <w:tcMar>
              <w:top w:type="dxa" w:w="80"/>
              <w:left w:type="dxa" w:w="100"/>
              <w:bottom w:type="dxa" w:w="80"/>
              <w:right w:type="dxa" w:w="100"/>
            </w:tcMar>
            <w:vAlign w:val="center"/>
          </w:tcPr>
          <w:p>
            <w:pPr>
              <w:spacing w:after="0"/>
            </w:pPr>
            <w:r>
              <w:rPr>
                <w:b/>
                <w:bCs/>
                <w:color w:val="102E4F"/>
                <w:sz w:val="18"/>
                <w:szCs w:val="18"/>
              </w:rPr>
              <w:t xml:space="preserve">99.995%</w:t>
            </w:r>
          </w:p>
        </w:tc>
        <w:tc>
          <w:tcPr>
            <w:tcW w:type="pct" w:w="27.333333333333332%"/>
            <w:shd w:fill="F1F5FA" w:val="clear"/>
            <w:tcMar>
              <w:top w:type="dxa" w:w="80"/>
              <w:left w:type="dxa" w:w="100"/>
              <w:bottom w:type="dxa" w:w="80"/>
              <w:right w:type="dxa" w:w="100"/>
            </w:tcMar>
            <w:vAlign w:val="center"/>
          </w:tcPr>
          <w:p>
            <w:pPr>
              <w:spacing w:after="0"/>
            </w:pPr>
            <w:r>
              <w:rPr>
                <w:b/>
                <w:bCs/>
                <w:color w:val="102E4F"/>
                <w:sz w:val="18"/>
                <w:szCs w:val="18"/>
              </w:rPr>
              <w:t xml:space="preserve">99.999%</w:t>
            </w:r>
          </w:p>
        </w:tc>
      </w:tr>
      <w:tr>
        <w:trPr>
          <w:cantSplit/>
        </w:trPr>
        <w:tc>
          <w:tcPr>
            <w:tcW w:type="pct" w:w="18%"/>
            <w:shd w:fill="F1F5FA" w:val="clear"/>
            <w:tcMar>
              <w:top w:type="dxa" w:w="80"/>
              <w:left w:type="dxa" w:w="100"/>
              <w:bottom w:type="dxa" w:w="80"/>
              <w:right w:type="dxa" w:w="100"/>
            </w:tcMar>
            <w:vAlign w:val="center"/>
          </w:tcPr>
          <w:p>
            <w:pPr>
              <w:spacing w:after="0"/>
            </w:pPr>
            <w:r>
              <w:rPr>
                <w:b/>
                <w:bCs/>
                <w:color w:val="243B5A"/>
                <w:sz w:val="18"/>
                <w:szCs w:val="18"/>
              </w:rPr>
              <w:t xml:space="preserve">N2 flow, SCFM</w:t>
            </w:r>
          </w:p>
        </w:tc>
        <w:tc>
          <w:tcPr>
            <w:tcW w:type="pct" w:w="27.333333333333332%"/>
            <w:shd w:fill="FFF1E8" w:val="clear"/>
            <w:tcMar>
              <w:top w:type="dxa" w:w="80"/>
              <w:left w:type="dxa" w:w="100"/>
              <w:bottom w:type="dxa" w:w="80"/>
              <w:right w:type="dxa" w:w="100"/>
            </w:tcMar>
            <w:vAlign w:val="center"/>
          </w:tcPr>
          <w:p>
            <w:pPr>
              <w:spacing w:after="0"/>
            </w:pPr>
            <w:r>
              <w:rPr>
                <w:b/>
                <w:bCs/>
                <w:color w:val="FF5A00"/>
                <w:sz w:val="18"/>
                <w:szCs w:val="18"/>
              </w:rPr>
              <w:t xml:space="preserve">50</w:t>
            </w:r>
          </w:p>
        </w:tc>
        <w:tc>
          <w:tcPr>
            <w:tcW w:type="pct" w:w="27.333333333333332%"/>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34</w:t>
            </w:r>
          </w:p>
        </w:tc>
        <w:tc>
          <w:tcPr>
            <w:tcW w:type="pct" w:w="27.333333333333332%"/>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31</w:t>
            </w:r>
          </w:p>
        </w:tc>
      </w:tr>
      <w:tr>
        <w:trPr>
          <w:cantSplit/>
        </w:trPr>
        <w:tc>
          <w:tcPr>
            <w:tcW w:type="pct" w:w="18%"/>
            <w:shd w:fill="F1F5FA" w:val="clear"/>
            <w:tcMar>
              <w:top w:type="dxa" w:w="80"/>
              <w:left w:type="dxa" w:w="100"/>
              <w:bottom w:type="dxa" w:w="80"/>
              <w:right w:type="dxa" w:w="100"/>
            </w:tcMar>
            <w:vAlign w:val="center"/>
          </w:tcPr>
          <w:p>
            <w:pPr>
              <w:spacing w:after="0"/>
            </w:pPr>
            <w:r>
              <w:rPr>
                <w:b/>
                <w:bCs/>
                <w:color w:val="243B5A"/>
                <w:sz w:val="18"/>
                <w:szCs w:val="18"/>
              </w:rPr>
              <w:t xml:space="preserve">Air feed, SCFM</w:t>
            </w:r>
          </w:p>
        </w:tc>
        <w:tc>
          <w:tcPr>
            <w:tcW w:type="pct" w:w="27.333333333333332%"/>
            <w:shd w:fill="FFF1E8" w:val="clear"/>
            <w:tcMar>
              <w:top w:type="dxa" w:w="80"/>
              <w:left w:type="dxa" w:w="100"/>
              <w:bottom w:type="dxa" w:w="80"/>
              <w:right w:type="dxa" w:w="100"/>
            </w:tcMar>
            <w:vAlign w:val="center"/>
          </w:tcPr>
          <w:p>
            <w:pPr>
              <w:spacing w:after="0"/>
            </w:pPr>
            <w:r>
              <w:rPr>
                <w:b/>
                <w:bCs/>
                <w:color w:val="FF5A00"/>
                <w:sz w:val="18"/>
                <w:szCs w:val="18"/>
              </w:rPr>
              <w:t xml:space="preserve">224</w:t>
            </w:r>
          </w:p>
        </w:tc>
        <w:tc>
          <w:tcPr>
            <w:tcW w:type="pct" w:w="27.333333333333332%"/>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163</w:t>
            </w:r>
          </w:p>
        </w:tc>
        <w:tc>
          <w:tcPr>
            <w:tcW w:type="pct" w:w="27.333333333333332%"/>
            <w:shd w:fill="FFFFFF" w:val="clear"/>
            <w:tcMar>
              <w:top w:type="dxa" w:w="80"/>
              <w:left w:type="dxa" w:w="100"/>
              <w:bottom w:type="dxa" w:w="80"/>
              <w:right w:type="dxa" w:w="100"/>
            </w:tcMar>
            <w:vAlign w:val="center"/>
          </w:tcPr>
          <w:p>
            <w:pPr>
              <w:spacing w:after="0"/>
            </w:pPr>
            <w:r>
              <w:rPr>
                <w:b w:val="false"/>
                <w:bCs w:val="false"/>
                <w:color w:val="243B5A"/>
                <w:sz w:val="18"/>
                <w:szCs w:val="18"/>
              </w:rPr>
              <w:t xml:space="preserve">187</w:t>
            </w:r>
          </w:p>
        </w:tc>
      </w:tr>
    </w:tbl>
    <w:p>
      <w:pPr>
        <w:spacing w:after="0" w:line="260" w:lineRule="atLeast"/>
      </w:pPr>
      <w:r>
        <w:rPr>
          <w:color w:val="64748B"/>
          <w:sz w:val="16"/>
          <w:szCs w:val="16"/>
        </w:rPr>
        <w:t xml:space="preserve">Air-flow values remain in SCFM even when nitrogen capacity is displayed in SCFH.</w:t>
      </w:r>
    </w:p>
    <w:p>
      <w:pPr>
        <w:spacing w:after="25" w:before="65"/>
        <w:jc w:val="center"/>
      </w:pPr>
      <w:r>
        <w:drawing>
          <wp:inline distT="0" distB="0" distL="0" distR="0">
            <wp:extent cx="539115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391150" cy="2695575"/>
                    </a:xfrm>
                    <a:prstGeom prst="rect">
                      <a:avLst/>
                    </a:prstGeom>
                  </pic:spPr>
                </pic:pic>
              </a:graphicData>
            </a:graphic>
          </wp:inline>
        </w:drawing>
      </w:r>
    </w:p>
    <w:p>
      <w:pPr>
        <w:spacing w:after="0" w:line="170" w:lineRule="atLeast"/>
      </w:pPr>
      <w:r>
        <w:rPr>
          <w:color w:val="64748B"/>
          <w:sz w:val="14"/>
          <w:szCs w:val="14"/>
        </w:rPr>
        <w:t xml:space="preserve">GN-150 · exact catalog points from this snapshot; no interpolation or site performance guarantee.</w:t>
      </w:r>
    </w:p>
    <w:p>
      <w:r>
        <w:br w:type="page"/>
      </w:r>
    </w:p>
    <w:p>
      <w:pPr>
        <w:spacing w:after="45" w:line="200" w:lineRule="atLeast"/>
      </w:pPr>
      <w:r>
        <w:rPr>
          <w:b/>
          <w:bCs/>
          <w:color w:val="FF5A00"/>
          <w:sz w:val="16"/>
          <w:szCs w:val="16"/>
        </w:rPr>
        <w:t xml:space="preserve">05 · AIR BALANCE</w:t>
      </w:r>
    </w:p>
    <w:p>
      <w:pPr>
        <w:spacing w:after="65" w:line="470" w:lineRule="atLeast"/>
      </w:pPr>
      <w:r>
        <w:rPr>
          <w:b/>
          <w:bCs/>
          <w:color w:val="102E4F"/>
          <w:sz w:val="44"/>
          <w:szCs w:val="44"/>
        </w:rPr>
        <w:t xml:space="preserve">Air capacity, from inlet to PSA</w:t>
      </w:r>
    </w:p>
    <w:p>
      <w:pPr>
        <w:spacing w:after="190" w:line="250" w:lineRule="atLeast"/>
      </w:pPr>
      <w:r>
        <w:rPr>
          <w:color w:val="64748B"/>
          <w:sz w:val="20"/>
          <w:szCs w:val="20"/>
        </w:rPr>
        <w:t xml:space="preserve">Catalog air capacities and the PSA air-feed requirement are kept separate.</w:t>
      </w:r>
    </w:p>
    <w:tbl>
      <w:tblPr>
        <w:tblW w:type="pct" w:w="100%"/>
        <w:tblBorders>
          <w:top w:val="none" w:sz="0"/>
          <w:left w:val="none" w:sz="0"/>
          <w:bottom w:val="none" w:sz="0"/>
          <w:right w:val="none" w:sz="0"/>
          <w:insideH w:val="none" w:sz="0"/>
          <w:insideV w:val="none" w:sz="0"/>
        </w:tblBorders>
      </w:tblPr>
      <w:tblGrid>
        <w:gridCol w:w="100"/>
        <w:gridCol w:w="100"/>
        <w:gridCol w:w="100"/>
        <w:gridCol w:w="100"/>
      </w:tblGrid>
      <w:tr>
        <w:trPr>
          <w:cantSplit/>
        </w:trPr>
        <w:tc>
          <w:tcPr>
            <w:tcW w:type="pct" w:w="25%"/>
            <w:shd w:fill="F1F5FA"/>
            <w:tcMar>
              <w:top w:type="dxa" w:w="170"/>
              <w:left w:type="dxa" w:w="120"/>
              <w:bottom w:type="dxa" w:w="170"/>
              <w:right w:type="dxa" w:w="120"/>
            </w:tcMar>
          </w:tcPr>
          <w:p>
            <w:pPr>
              <w:spacing w:after="90"/>
              <w:jc w:val="center"/>
            </w:pPr>
            <w:r>
              <w:drawing>
                <wp:inline distT="0" distB="0" distL="0" distR="0">
                  <wp:extent cx="933450"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933450" cy="838200"/>
                          </a:xfrm>
                          <a:prstGeom prst="rect">
                            <a:avLst/>
                          </a:prstGeom>
                        </pic:spPr>
                      </pic:pic>
                    </a:graphicData>
                  </a:graphic>
                </wp:inline>
              </w:drawing>
            </w:r>
          </w:p>
          <w:p>
            <w:pPr>
              <w:spacing w:after="70" w:line="260" w:lineRule="atLeast"/>
            </w:pPr>
            <w:r>
              <w:rPr>
                <w:b/>
                <w:bCs/>
                <w:color w:val="102E4F"/>
                <w:sz w:val="18"/>
                <w:szCs w:val="18"/>
              </w:rPr>
              <w:t xml:space="preserve">Air compressor</w:t>
            </w:r>
          </w:p>
          <w:p>
            <w:pPr>
              <w:spacing w:after="90" w:line="260" w:lineRule="atLeast"/>
            </w:pPr>
            <w:r>
              <w:rPr>
                <w:b/>
                <w:bCs/>
                <w:color w:val="102E4F"/>
                <w:sz w:val="25"/>
                <w:szCs w:val="25"/>
              </w:rPr>
              <w:t xml:space="preserve">412 SCFM</w:t>
            </w:r>
          </w:p>
          <w:p>
            <w:pPr>
              <w:spacing w:after="0" w:line="260" w:lineRule="atLeast"/>
            </w:pPr>
            <w:r>
              <w:rPr>
                <w:color w:val="64748B"/>
                <w:sz w:val="13"/>
                <w:szCs w:val="13"/>
              </w:rPr>
              <w:t xml:space="preserve">KRSD-100</w:t>
            </w:r>
          </w:p>
        </w:tc>
        <w:tc>
          <w:tcPr>
            <w:tcW w:type="pct" w:w="25%"/>
            <w:shd w:fill="F1F5FA"/>
            <w:tcMar>
              <w:top w:type="dxa" w:w="170"/>
              <w:left w:type="dxa" w:w="120"/>
              <w:bottom w:type="dxa" w:w="170"/>
              <w:right w:type="dxa" w:w="120"/>
            </w:tcMar>
          </w:tcPr>
          <w:p>
            <w:pPr>
              <w:spacing w:after="90"/>
              <w:jc w:val="center"/>
            </w:pPr>
            <w:r>
              <w:drawing>
                <wp:inline distT="0" distB="0" distL="0" distR="0">
                  <wp:extent cx="933450"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933450" cy="838200"/>
                          </a:xfrm>
                          <a:prstGeom prst="rect">
                            <a:avLst/>
                          </a:prstGeom>
                        </pic:spPr>
                      </pic:pic>
                    </a:graphicData>
                  </a:graphic>
                </wp:inline>
              </w:drawing>
            </w:r>
          </w:p>
          <w:p>
            <w:pPr>
              <w:spacing w:after="70" w:line="260" w:lineRule="atLeast"/>
            </w:pPr>
            <w:r>
              <w:rPr>
                <w:b/>
                <w:bCs/>
                <w:color w:val="102E4F"/>
                <w:sz w:val="18"/>
                <w:szCs w:val="18"/>
              </w:rPr>
              <w:t xml:space="preserve">Air dryer</w:t>
            </w:r>
          </w:p>
          <w:p>
            <w:pPr>
              <w:spacing w:after="90" w:line="260" w:lineRule="atLeast"/>
            </w:pPr>
            <w:r>
              <w:rPr>
                <w:b/>
                <w:bCs/>
                <w:color w:val="102E4F"/>
                <w:sz w:val="25"/>
                <w:szCs w:val="25"/>
              </w:rPr>
              <w:t xml:space="preserve">500 SCFM</w:t>
            </w:r>
          </w:p>
          <w:p>
            <w:pPr>
              <w:spacing w:after="0" w:line="260" w:lineRule="atLeast"/>
            </w:pPr>
            <w:r>
              <w:rPr>
                <w:color w:val="64748B"/>
                <w:sz w:val="13"/>
                <w:szCs w:val="13"/>
              </w:rPr>
              <w:t xml:space="preserve">Safe Equip Refrigerated Air Dryer 500 CFM</w:t>
            </w:r>
          </w:p>
        </w:tc>
        <w:tc>
          <w:tcPr>
            <w:tcW w:type="pct" w:w="25%"/>
            <w:shd w:fill="F1F5FA"/>
            <w:tcMar>
              <w:top w:type="dxa" w:w="170"/>
              <w:left w:type="dxa" w:w="120"/>
              <w:bottom w:type="dxa" w:w="170"/>
              <w:right w:type="dxa" w:w="120"/>
            </w:tcMar>
          </w:tcPr>
          <w:p>
            <w:pPr>
              <w:spacing w:after="90"/>
              <w:jc w:val="center"/>
            </w:pPr>
            <w:r>
              <w:drawing>
                <wp:inline distT="0" distB="0" distL="0" distR="0">
                  <wp:extent cx="933450"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933450" cy="838200"/>
                          </a:xfrm>
                          <a:prstGeom prst="rect">
                            <a:avLst/>
                          </a:prstGeom>
                        </pic:spPr>
                      </pic:pic>
                    </a:graphicData>
                  </a:graphic>
                </wp:inline>
              </w:drawing>
            </w:r>
          </w:p>
          <w:p>
            <w:pPr>
              <w:spacing w:after="70" w:line="260" w:lineRule="atLeast"/>
            </w:pPr>
            <w:r>
              <w:rPr>
                <w:b/>
                <w:bCs/>
                <w:color w:val="102E4F"/>
                <w:sz w:val="18"/>
                <w:szCs w:val="18"/>
              </w:rPr>
              <w:t xml:space="preserve">Filters</w:t>
            </w:r>
          </w:p>
          <w:p>
            <w:pPr>
              <w:spacing w:after="90" w:line="260" w:lineRule="atLeast"/>
            </w:pPr>
            <w:r>
              <w:rPr>
                <w:b/>
                <w:bCs/>
                <w:color w:val="102E4F"/>
                <w:sz w:val="25"/>
                <w:szCs w:val="25"/>
              </w:rPr>
              <w:t xml:space="preserve">500 SCFM</w:t>
            </w:r>
          </w:p>
          <w:p>
            <w:pPr>
              <w:spacing w:after="0" w:line="260" w:lineRule="atLeast"/>
            </w:pPr>
            <w:r>
              <w:rPr>
                <w:color w:val="64748B"/>
                <w:sz w:val="13"/>
                <w:szCs w:val="13"/>
              </w:rPr>
              <w:t xml:space="preserve">CE-500-CTAH</w:t>
            </w:r>
          </w:p>
        </w:tc>
        <w:tc>
          <w:tcPr>
            <w:tcW w:type="pct" w:w="25%"/>
            <w:shd w:fill="F1F5FA"/>
            <w:tcMar>
              <w:top w:type="dxa" w:w="170"/>
              <w:left w:type="dxa" w:w="120"/>
              <w:bottom w:type="dxa" w:w="170"/>
              <w:right w:type="dxa" w:w="120"/>
            </w:tcMar>
          </w:tcPr>
          <w:p>
            <w:pPr>
              <w:spacing w:after="90"/>
              <w:jc w:val="center"/>
            </w:pPr>
            <w:r>
              <w:drawing>
                <wp:inline distT="0" distB="0" distL="0" distR="0">
                  <wp:extent cx="590550"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 cy="838200"/>
                          </a:xfrm>
                          <a:prstGeom prst="rect">
                            <a:avLst/>
                          </a:prstGeom>
                        </pic:spPr>
                      </pic:pic>
                    </a:graphicData>
                  </a:graphic>
                </wp:inline>
              </w:drawing>
            </w:r>
          </w:p>
          <w:p>
            <w:pPr>
              <w:spacing w:after="70" w:line="260" w:lineRule="atLeast"/>
            </w:pPr>
            <w:r>
              <w:rPr>
                <w:b/>
                <w:bCs/>
                <w:color w:val="102E4F"/>
                <w:sz w:val="18"/>
                <w:szCs w:val="18"/>
              </w:rPr>
              <w:t xml:space="preserve">PSA feed</w:t>
            </w:r>
          </w:p>
          <w:p>
            <w:pPr>
              <w:spacing w:after="90" w:line="260" w:lineRule="atLeast"/>
            </w:pPr>
            <w:r>
              <w:rPr>
                <w:b/>
                <w:bCs/>
                <w:color w:val="102E4F"/>
                <w:sz w:val="25"/>
                <w:szCs w:val="25"/>
              </w:rPr>
              <w:t xml:space="preserve">224 SCFM</w:t>
            </w:r>
          </w:p>
          <w:p>
            <w:pPr>
              <w:spacing w:after="0" w:line="260" w:lineRule="atLeast"/>
            </w:pPr>
            <w:r>
              <w:rPr>
                <w:color w:val="64748B"/>
                <w:sz w:val="13"/>
                <w:szCs w:val="13"/>
              </w:rPr>
              <w:t xml:space="preserve">GN-150</w:t>
            </w:r>
          </w:p>
        </w:tc>
      </w:tr>
    </w:tbl>
    <w:p>
      <w:pPr>
        <w:spacing w:after="100" w:line="100" w:lineRule="atLeast"/>
      </w:pPr>
      <w:r>
        <w:rPr>
          <w:color w:val="243B5A"/>
          <w:sz w:val="20"/>
          <w:szCs w:val="20"/>
        </w:rPr>
        <w:t xml:space="preserve"/>
      </w:r>
    </w:p>
    <w:tbl>
      <w:tblPr>
        <w:tblW w:type="pct" w:w="100%"/>
        <w:tblBorders>
          <w:top w:val="single" w:color="FF5A00" w:sz="10"/>
          <w:left w:val="single" w:color="FF5A00" w:sz="10"/>
          <w:bottom w:val="single" w:color="FF5A00" w:sz="10"/>
          <w:right w:val="single" w:color="FF5A00" w:sz="10"/>
          <w:insideH w:val="single" w:color="auto" w:sz="4"/>
          <w:insideV w:val="single" w:color="auto" w:sz="4"/>
        </w:tblBorders>
      </w:tblPr>
      <w:tblGrid>
        <w:gridCol w:w="100"/>
      </w:tblGrid>
      <w:tr>
        <w:tc>
          <w:tcPr>
            <w:tcW w:type="pct" w:w="100%"/>
            <w:shd w:fill="FFF1E8" w:val="clear"/>
            <w:tcMar>
              <w:top w:type="dxa" w:w="120"/>
              <w:left w:type="dxa" w:w="150"/>
              <w:bottom w:type="dxa" w:w="120"/>
              <w:right w:type="dxa" w:w="150"/>
            </w:tcMar>
          </w:tcPr>
          <w:p>
            <w:pPr>
              <w:spacing w:after="45" w:line="220" w:lineRule="atLeast"/>
            </w:pPr>
            <w:r>
              <w:rPr>
                <w:b/>
                <w:bCs/>
                <w:color w:val="102E4F"/>
                <w:sz w:val="22"/>
                <w:szCs w:val="22"/>
              </w:rPr>
              <w:t xml:space="preserve">Generator inlet-air basis</w:t>
            </w:r>
          </w:p>
          <w:p>
            <w:pPr>
              <w:spacing w:after="0" w:line="235" w:lineRule="atLeast"/>
            </w:pPr>
            <w:r>
              <w:rPr>
                <w:color w:val="243B5A"/>
                <w:sz w:val="18"/>
                <w:szCs w:val="18"/>
              </w:rPr>
              <w:t xml:space="preserve">ISO 8573-1:2010 Class 1.4.1</w:t>
            </w:r>
          </w:p>
        </w:tc>
      </w:tr>
    </w:tbl>
    <w:p>
      <w:pPr>
        <w:spacing w:after="140" w:line="270" w:lineRule="atLeast"/>
      </w:pPr>
      <w:r>
        <w:rPr>
          <w:color w:val="243B5A"/>
          <w:sz w:val="21"/>
          <w:szCs w:val="21"/>
        </w:rPr>
        <w:t xml:space="preserve">Confirm available air flow, pressure and air quality at the site. Catalog capacities are compared at their stated conditions; this comparison is not a system performance guarantee.</w:t>
      </w:r>
    </w:p>
    <w:p>
      <w:r>
        <w:br w:type="page"/>
      </w:r>
    </w:p>
    <w:p>
      <w:pPr>
        <w:spacing w:after="45" w:line="200" w:lineRule="atLeast"/>
      </w:pPr>
      <w:r>
        <w:rPr>
          <w:b/>
          <w:bCs/>
          <w:color w:val="FF5A00"/>
          <w:sz w:val="16"/>
          <w:szCs w:val="16"/>
        </w:rPr>
        <w:t xml:space="preserve">06 · AIR-SIDE EQUIPMENT</w:t>
      </w:r>
    </w:p>
    <w:p>
      <w:pPr>
        <w:spacing w:after="65" w:line="470" w:lineRule="atLeast"/>
      </w:pPr>
      <w:r>
        <w:rPr>
          <w:b/>
          <w:bCs/>
          <w:color w:val="102E4F"/>
          <w:sz w:val="44"/>
          <w:szCs w:val="44"/>
        </w:rPr>
        <w:t xml:space="preserve">Prepared air, matched equipment</w:t>
      </w:r>
    </w:p>
    <w:p>
      <w:pPr>
        <w:spacing w:after="190" w:line="250" w:lineRule="atLeast"/>
      </w:pPr>
      <w:r>
        <w:rPr>
          <w:color w:val="64748B"/>
          <w:sz w:val="20"/>
          <w:szCs w:val="20"/>
        </w:rPr>
        <w:t xml:space="preserve">The included air equipment and its verified specifications.</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100"/>
        <w:gridCol w:w="100"/>
      </w:tblGrid>
      <w:tr>
        <w:trPr>
          <w:cantSplit/>
          <w:trHeight w:val="3300" w:hRule="atLeast"/>
        </w:trPr>
        <w:tc>
          <w:tcPr>
            <w:tcW w:type="pct" w:w="50%"/>
            <w:shd w:fill="FFFFFF"/>
            <w:tcMar>
              <w:top w:type="dxa" w:w="170"/>
              <w:left w:type="dxa" w:w="170"/>
              <w:bottom w:type="dxa" w:w="170"/>
              <w:right w:type="dxa" w:w="170"/>
            </w:tcMar>
          </w:tcPr>
          <w:p>
            <w:pPr>
              <w:spacing w:after="65" w:line="260" w:lineRule="atLeast"/>
            </w:pPr>
            <w:r>
              <w:rPr>
                <w:b/>
                <w:bCs/>
                <w:color w:val="207C61"/>
                <w:sz w:val="14"/>
                <w:szCs w:val="14"/>
              </w:rPr>
              <w:t xml:space="preserve">INCLUDED · QTY 1</w:t>
            </w:r>
          </w:p>
          <w:p>
            <w:pPr>
              <w:spacing w:after="45" w:line="260" w:lineRule="atLeast"/>
            </w:pPr>
            <w:r>
              <w:rPr>
                <w:b/>
                <w:bCs/>
                <w:color w:val="102E4F"/>
                <w:sz w:val="24"/>
                <w:szCs w:val="24"/>
              </w:rPr>
              <w:t xml:space="preserve">Air compressor</w:t>
            </w:r>
          </w:p>
          <w:p>
            <w:pPr>
              <w:spacing w:after="65" w:line="210" w:lineRule="atLeast"/>
            </w:pPr>
            <w:r>
              <w:rPr>
                <w:color w:val="64748B"/>
                <w:sz w:val="17"/>
                <w:szCs w:val="17"/>
              </w:rPr>
              <w:t xml:space="preserve">KRSD-100</w:t>
            </w:r>
          </w:p>
          <w:p>
            <w:pPr>
              <w:spacing w:after="65"/>
              <w:jc w:val="center"/>
            </w:pPr>
            <w:r>
              <w:drawing>
                <wp:inline distT="0" distB="0" distL="0" distR="0">
                  <wp:extent cx="11620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1162050" cy="952500"/>
                          </a:xfrm>
                          <a:prstGeom prst="rect">
                            <a:avLst/>
                          </a:prstGeom>
                        </pic:spPr>
                      </pic:pic>
                    </a:graphicData>
                  </a:graphic>
                </wp:inline>
              </w:drawing>
            </w:r>
          </w:p>
          <w:p>
            <w:pPr>
              <w:spacing w:after="25" w:line="195" w:lineRule="atLeast"/>
            </w:pPr>
            <w:r>
              <w:rPr>
                <w:color w:val="243B5A"/>
                <w:sz w:val="16"/>
                <w:szCs w:val="16"/>
              </w:rPr>
              <w:t xml:space="preserve">Compressor capacity: 412 SCFM</w:t>
            </w:r>
          </w:p>
          <w:p>
            <w:pPr>
              <w:spacing w:after="0" w:line="210" w:lineRule="atLeast"/>
            </w:pPr>
            <w:r>
              <w:rPr>
                <w:color w:val="243B5A"/>
                <w:sz w:val="17"/>
                <w:szCs w:val="17"/>
              </w:rPr>
              <w:t xml:space="preserve">Why this unit: Supplies the compressed-air feed for the PSA process.</w:t>
            </w:r>
          </w:p>
        </w:tc>
        <w:tc>
          <w:tcPr>
            <w:tcW w:type="pct" w:w="50%"/>
            <w:shd w:fill="FFFFFF"/>
            <w:tcMar>
              <w:top w:type="dxa" w:w="170"/>
              <w:left w:type="dxa" w:w="170"/>
              <w:bottom w:type="dxa" w:w="170"/>
              <w:right w:type="dxa" w:w="170"/>
            </w:tcMar>
          </w:tcPr>
          <w:p>
            <w:pPr>
              <w:spacing w:after="65" w:line="260" w:lineRule="atLeast"/>
            </w:pPr>
            <w:r>
              <w:rPr>
                <w:b/>
                <w:bCs/>
                <w:color w:val="207C61"/>
                <w:sz w:val="14"/>
                <w:szCs w:val="14"/>
              </w:rPr>
              <w:t xml:space="preserve">INCLUDED · QTY 1</w:t>
            </w:r>
          </w:p>
          <w:p>
            <w:pPr>
              <w:spacing w:after="45" w:line="260" w:lineRule="atLeast"/>
            </w:pPr>
            <w:r>
              <w:rPr>
                <w:b/>
                <w:bCs/>
                <w:color w:val="102E4F"/>
                <w:sz w:val="24"/>
                <w:szCs w:val="24"/>
              </w:rPr>
              <w:t xml:space="preserve">Air dryer</w:t>
            </w:r>
          </w:p>
          <w:p>
            <w:pPr>
              <w:spacing w:after="65" w:line="210" w:lineRule="atLeast"/>
            </w:pPr>
            <w:r>
              <w:rPr>
                <w:color w:val="64748B"/>
                <w:sz w:val="17"/>
                <w:szCs w:val="17"/>
              </w:rPr>
              <w:t xml:space="preserve">Safe Equip Refrigerated Air Dryer 500 CFM</w:t>
            </w:r>
          </w:p>
          <w:p>
            <w:pPr>
              <w:spacing w:after="65"/>
              <w:jc w:val="center"/>
            </w:pPr>
            <w:r>
              <w:drawing>
                <wp:inline distT="0" distB="0" distL="0" distR="0">
                  <wp:extent cx="11620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1162050" cy="952500"/>
                          </a:xfrm>
                          <a:prstGeom prst="rect">
                            <a:avLst/>
                          </a:prstGeom>
                        </pic:spPr>
                      </pic:pic>
                    </a:graphicData>
                  </a:graphic>
                </wp:inline>
              </w:drawing>
            </w:r>
          </w:p>
          <w:p>
            <w:pPr>
              <w:spacing w:after="25" w:line="195" w:lineRule="atLeast"/>
            </w:pPr>
            <w:r>
              <w:rPr>
                <w:color w:val="243B5A"/>
                <w:sz w:val="16"/>
                <w:szCs w:val="16"/>
              </w:rPr>
              <w:t xml:space="preserve">Rated air flow: 500 SCFM</w:t>
            </w:r>
          </w:p>
          <w:p>
            <w:pPr>
              <w:spacing w:after="0" w:line="210" w:lineRule="atLeast"/>
            </w:pPr>
            <w:r>
              <w:rPr>
                <w:color w:val="243B5A"/>
                <w:sz w:val="17"/>
                <w:szCs w:val="17"/>
              </w:rPr>
              <w:t xml:space="preserve">Why this unit: Removes moisture before the downstream filters and generator.</w:t>
            </w:r>
          </w:p>
        </w:tc>
      </w:tr>
    </w:tbl>
    <w:p>
      <w:pPr>
        <w:spacing w:after="70" w:line="120" w:lineRule="atLeast"/>
      </w:pPr>
      <w:r>
        <w:rPr>
          <w:color w:val="243B5A"/>
          <w:sz w:val="4"/>
          <w:szCs w:val="4"/>
        </w:rPr>
        <w:t xml:space="preserve"/>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100"/>
        <w:gridCol w:w="100"/>
      </w:tblGrid>
      <w:tr>
        <w:trPr>
          <w:cantSplit/>
          <w:trHeight w:val="3300" w:hRule="atLeast"/>
        </w:trPr>
        <w:tc>
          <w:tcPr>
            <w:tcW w:type="pct" w:w="50%"/>
            <w:shd w:fill="FFFFFF"/>
            <w:tcMar>
              <w:top w:type="dxa" w:w="170"/>
              <w:left w:type="dxa" w:w="170"/>
              <w:bottom w:type="dxa" w:w="170"/>
              <w:right w:type="dxa" w:w="170"/>
            </w:tcMar>
          </w:tcPr>
          <w:p>
            <w:pPr>
              <w:spacing w:after="65" w:line="260" w:lineRule="atLeast"/>
            </w:pPr>
            <w:r>
              <w:rPr>
                <w:b/>
                <w:bCs/>
                <w:color w:val="207C61"/>
                <w:sz w:val="14"/>
                <w:szCs w:val="14"/>
              </w:rPr>
              <w:t xml:space="preserve">INCLUDED · QTY 1</w:t>
            </w:r>
          </w:p>
          <w:p>
            <w:pPr>
              <w:spacing w:after="45" w:line="260" w:lineRule="atLeast"/>
            </w:pPr>
            <w:r>
              <w:rPr>
                <w:b/>
                <w:bCs/>
                <w:color w:val="102E4F"/>
                <w:sz w:val="24"/>
                <w:szCs w:val="24"/>
              </w:rPr>
              <w:t xml:space="preserve">Filters</w:t>
            </w:r>
          </w:p>
          <w:p>
            <w:pPr>
              <w:spacing w:after="65" w:line="210" w:lineRule="atLeast"/>
            </w:pPr>
            <w:r>
              <w:rPr>
                <w:color w:val="64748B"/>
                <w:sz w:val="17"/>
                <w:szCs w:val="17"/>
              </w:rPr>
              <w:t xml:space="preserve">CE-500-CTAH</w:t>
            </w:r>
          </w:p>
          <w:p>
            <w:pPr>
              <w:spacing w:after="65"/>
              <w:jc w:val="center"/>
            </w:pPr>
            <w:r>
              <w:drawing>
                <wp:inline distT="0" distB="0" distL="0" distR="0">
                  <wp:extent cx="11620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1162050" cy="952500"/>
                          </a:xfrm>
                          <a:prstGeom prst="rect">
                            <a:avLst/>
                          </a:prstGeom>
                        </pic:spPr>
                      </pic:pic>
                    </a:graphicData>
                  </a:graphic>
                </wp:inline>
              </w:drawing>
            </w:r>
          </w:p>
          <w:p>
            <w:pPr>
              <w:spacing w:after="25" w:line="195" w:lineRule="atLeast"/>
            </w:pPr>
            <w:r>
              <w:rPr>
                <w:color w:val="243B5A"/>
                <w:sz w:val="16"/>
                <w:szCs w:val="16"/>
              </w:rPr>
              <w:t xml:space="preserve">Rated air flow: 500 SCFM</w:t>
            </w:r>
          </w:p>
          <w:p>
            <w:pPr>
              <w:spacing w:after="0" w:line="210" w:lineRule="atLeast"/>
            </w:pPr>
            <w:r>
              <w:rPr>
                <w:color w:val="243B5A"/>
                <w:sz w:val="17"/>
                <w:szCs w:val="17"/>
              </w:rPr>
              <w:t xml:space="preserve">Why this unit: Treats particles, oil aerosol and other contaminants before the PSA generator.</w:t>
            </w:r>
          </w:p>
        </w:tc>
        <w:tc>
          <w:tcPr>
            <w:tcW w:type="pct" w:w="50%"/>
            <w:shd w:fill="FFFFFF"/>
            <w:tcMar>
              <w:top w:type="dxa" w:w="170"/>
              <w:left w:type="dxa" w:w="170"/>
              <w:bottom w:type="dxa" w:w="170"/>
              <w:right w:type="dxa" w:w="170"/>
            </w:tcMar>
          </w:tcPr>
          <w:p>
            <w:pPr>
              <w:spacing w:after="65" w:line="260" w:lineRule="atLeast"/>
            </w:pPr>
            <w:r>
              <w:rPr>
                <w:b/>
                <w:bCs/>
                <w:color w:val="207C61"/>
                <w:sz w:val="14"/>
                <w:szCs w:val="14"/>
              </w:rPr>
              <w:t xml:space="preserve">INCLUDED · QTY 1</w:t>
            </w:r>
          </w:p>
          <w:p>
            <w:pPr>
              <w:spacing w:after="45" w:line="260" w:lineRule="atLeast"/>
            </w:pPr>
            <w:r>
              <w:rPr>
                <w:b/>
                <w:bCs/>
                <w:color w:val="102E4F"/>
                <w:sz w:val="24"/>
                <w:szCs w:val="24"/>
              </w:rPr>
              <w:t xml:space="preserve">Air tank</w:t>
            </w:r>
          </w:p>
          <w:p>
            <w:pPr>
              <w:spacing w:after="65" w:line="210" w:lineRule="atLeast"/>
            </w:pPr>
            <w:r>
              <w:rPr>
                <w:color w:val="64748B"/>
                <w:sz w:val="17"/>
                <w:szCs w:val="17"/>
              </w:rPr>
              <w:t xml:space="preserve">Vertical Air Tank 660 US gal</w:t>
            </w:r>
          </w:p>
          <w:p>
            <w:pPr>
              <w:spacing w:after="65"/>
              <w:jc w:val="center"/>
            </w:pPr>
            <w:r>
              <w:drawing>
                <wp:inline distT="0" distB="0" distL="0" distR="0">
                  <wp:extent cx="61912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19125" cy="904875"/>
                          </a:xfrm>
                          <a:prstGeom prst="rect">
                            <a:avLst/>
                          </a:prstGeom>
                        </pic:spPr>
                      </pic:pic>
                    </a:graphicData>
                  </a:graphic>
                </wp:inline>
              </w:drawing>
            </w:r>
          </w:p>
          <w:p>
            <w:pPr>
              <w:spacing w:after="25" w:line="195" w:lineRule="atLeast"/>
            </w:pPr>
            <w:r>
              <w:rPr>
                <w:color w:val="243B5A"/>
                <w:sz w:val="16"/>
                <w:szCs w:val="16"/>
              </w:rPr>
              <w:t xml:space="preserve">Vessel capacity: 660 US gal</w:t>
            </w:r>
          </w:p>
          <w:p>
            <w:pPr>
              <w:spacing w:after="0" w:line="210" w:lineRule="atLeast"/>
            </w:pPr>
            <w:r>
              <w:rPr>
                <w:color w:val="243B5A"/>
                <w:sz w:val="17"/>
                <w:szCs w:val="17"/>
              </w:rPr>
              <w:t xml:space="preserve">Why this unit: Provides compressed-air storage between the air supply and PSA generator.</w:t>
            </w:r>
          </w:p>
        </w:tc>
      </w:tr>
    </w:tbl>
    <w:p>
      <w:pPr>
        <w:spacing w:after="70" w:line="120" w:lineRule="atLeast"/>
      </w:pPr>
      <w:r>
        <w:rPr>
          <w:color w:val="243B5A"/>
          <w:sz w:val="4"/>
          <w:szCs w:val="4"/>
        </w:rPr>
        <w:t xml:space="preserve"/>
      </w:r>
    </w:p>
    <w:p>
      <w:r>
        <w:br w:type="page"/>
      </w:r>
    </w:p>
    <w:p>
      <w:pPr>
        <w:spacing w:after="45" w:line="200" w:lineRule="atLeast"/>
      </w:pPr>
      <w:r>
        <w:rPr>
          <w:b/>
          <w:bCs/>
          <w:color w:val="FF5A00"/>
          <w:sz w:val="16"/>
          <w:szCs w:val="16"/>
        </w:rPr>
        <w:t xml:space="preserve">07 · NITROGEN-SIDE EQUIPMENT</w:t>
      </w:r>
    </w:p>
    <w:p>
      <w:pPr>
        <w:spacing w:after="65" w:line="470" w:lineRule="atLeast"/>
      </w:pPr>
      <w:r>
        <w:rPr>
          <w:b/>
          <w:bCs/>
          <w:color w:val="102E4F"/>
          <w:sz w:val="44"/>
          <w:szCs w:val="44"/>
        </w:rPr>
        <w:t xml:space="preserve">The heart of your nitrogen system</w:t>
      </w:r>
    </w:p>
    <w:p>
      <w:pPr>
        <w:spacing w:after="190" w:line="250" w:lineRule="atLeast"/>
      </w:pPr>
      <w:r>
        <w:rPr>
          <w:color w:val="64748B"/>
          <w:sz w:val="20"/>
          <w:szCs w:val="20"/>
        </w:rPr>
        <w:t xml:space="preserve">The selected generator and the nitrogen tanks included in this package.</w:t>
      </w:r>
    </w:p>
    <w:tbl>
      <w:tblPr>
        <w:tblW w:type="pct" w:w="100%"/>
        <w:tblBorders>
          <w:top w:val="none" w:sz="0"/>
          <w:left w:val="none" w:sz="0"/>
          <w:bottom w:val="none" w:sz="0"/>
          <w:right w:val="none" w:sz="0"/>
          <w:insideH w:val="none" w:sz="0"/>
          <w:insideV w:val="none" w:sz="0"/>
        </w:tblBorders>
      </w:tblPr>
      <w:tblGrid>
        <w:gridCol w:w="100"/>
        <w:gridCol w:w="100"/>
      </w:tblGrid>
      <w:tr>
        <w:trPr>
          <w:cantSplit/>
        </w:trPr>
        <w:tc>
          <w:tcPr>
            <w:tcW w:type="pct" w:w="30%"/>
            <w:shd w:fill="F1F5FA"/>
            <w:tcMar>
              <w:top w:type="dxa" w:w="180"/>
              <w:left w:type="dxa" w:w="150"/>
              <w:bottom w:type="dxa" w:w="180"/>
              <w:right w:type="dxa" w:w="150"/>
            </w:tcMar>
            <w:vAlign w:val="center"/>
          </w:tcPr>
          <w:p>
            <w:pPr>
              <w:jc w:val="center"/>
            </w:pPr>
            <w:r>
              <w:drawing>
                <wp:inline distT="0" distB="0" distL="0" distR="0">
                  <wp:extent cx="12573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257300" cy="1714500"/>
                          </a:xfrm>
                          <a:prstGeom prst="rect">
                            <a:avLst/>
                          </a:prstGeom>
                        </pic:spPr>
                      </pic:pic>
                    </a:graphicData>
                  </a:graphic>
                </wp:inline>
              </w:drawing>
            </w:r>
          </w:p>
        </w:tc>
        <w:tc>
          <w:tcPr>
            <w:tcW w:type="pct" w:w="70%"/>
            <w:shd w:fill="F1F5FA"/>
            <w:tcMar>
              <w:top w:type="dxa" w:w="180"/>
              <w:left w:type="dxa" w:w="150"/>
              <w:bottom w:type="dxa" w:w="180"/>
              <w:right w:type="dxa" w:w="150"/>
            </w:tcMar>
          </w:tcPr>
          <w:p>
            <w:pPr>
              <w:spacing w:after="70" w:line="260" w:lineRule="atLeast"/>
            </w:pPr>
            <w:r>
              <w:rPr>
                <w:b/>
                <w:bCs/>
                <w:color w:val="207C61"/>
                <w:sz w:val="14"/>
                <w:szCs w:val="14"/>
              </w:rPr>
              <w:t xml:space="preserve">INCLUDED · QTY 1</w:t>
            </w:r>
          </w:p>
          <w:p>
            <w:pPr>
              <w:spacing w:after="80" w:line="420" w:lineRule="atLeast"/>
            </w:pPr>
            <w:r>
              <w:rPr>
                <w:b/>
                <w:bCs/>
                <w:color w:val="102E4F"/>
                <w:sz w:val="38"/>
                <w:szCs w:val="38"/>
              </w:rPr>
              <w:t xml:space="preserve">GN-150</w:t>
            </w:r>
          </w:p>
          <w:p>
            <w:pPr>
              <w:spacing w:after="65" w:line="260" w:lineRule="atLeast"/>
            </w:pPr>
            <w:r>
              <w:rPr>
                <w:color w:val="243B5A"/>
                <w:sz w:val="19"/>
                <w:szCs w:val="19"/>
              </w:rPr>
              <w:t xml:space="preserve">Nitrogen PSA generator</w:t>
            </w:r>
          </w:p>
          <w:p>
            <w:pPr>
              <w:spacing w:after="25" w:line="210" w:lineRule="atLeast"/>
            </w:pPr>
            <w:r>
              <w:rPr>
                <w:color w:val="243B5A"/>
                <w:sz w:val="17"/>
                <w:szCs w:val="17"/>
              </w:rPr>
              <w:t xml:space="preserve">Dew point -60°F · Ambient 40°F to 95°F · Air in G2" · N2 out G1½"</w:t>
            </w:r>
          </w:p>
          <w:p>
            <w:pPr>
              <w:spacing w:after="25" w:line="210" w:lineRule="atLeast"/>
            </w:pPr>
            <w:r>
              <w:rPr>
                <w:color w:val="243B5A"/>
                <w:sz w:val="17"/>
                <w:szCs w:val="17"/>
              </w:rPr>
              <w:t xml:space="preserve">Nitrogen capacity at 99.99%: 50 SCFM</w:t>
            </w:r>
          </w:p>
          <w:p>
            <w:pPr>
              <w:spacing w:after="0" w:line="230" w:lineRule="atLeast"/>
            </w:pPr>
            <w:r>
              <w:rPr>
                <w:color w:val="243B5A"/>
                <w:sz w:val="18"/>
                <w:szCs w:val="18"/>
              </w:rPr>
              <w:t xml:space="preserve">Why this unit: Separates nitrogen from prepared air at the selected catalog operating point.</w:t>
            </w:r>
          </w:p>
        </w:tc>
      </w:tr>
    </w:tbl>
    <w:p>
      <w:pPr>
        <w:spacing w:after="100" w:line="120" w:lineRule="atLeast"/>
      </w:pPr>
      <w:r>
        <w:rPr>
          <w:color w:val="243B5A"/>
          <w:sz w:val="4"/>
          <w:szCs w:val="4"/>
        </w:rPr>
        <w:t xml:space="preserve"/>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100"/>
        <w:gridCol w:w="100"/>
      </w:tblGrid>
      <w:tr>
        <w:trPr>
          <w:cantSplit/>
          <w:trHeight w:val="3300" w:hRule="atLeast"/>
        </w:trPr>
        <w:tc>
          <w:tcPr>
            <w:tcW w:type="pct" w:w="50%"/>
            <w:shd w:fill="FFFFFF"/>
            <w:tcMar>
              <w:top w:type="dxa" w:w="170"/>
              <w:left w:type="dxa" w:w="170"/>
              <w:bottom w:type="dxa" w:w="170"/>
              <w:right w:type="dxa" w:w="170"/>
            </w:tcMar>
          </w:tcPr>
          <w:p>
            <w:pPr>
              <w:spacing w:after="65" w:line="260" w:lineRule="atLeast"/>
            </w:pPr>
            <w:r>
              <w:rPr>
                <w:b/>
                <w:bCs/>
                <w:color w:val="207C61"/>
                <w:sz w:val="14"/>
                <w:szCs w:val="14"/>
              </w:rPr>
              <w:t xml:space="preserve">INCLUDED · QTY 1</w:t>
            </w:r>
          </w:p>
          <w:p>
            <w:pPr>
              <w:spacing w:after="45" w:line="260" w:lineRule="atLeast"/>
            </w:pPr>
            <w:r>
              <w:rPr>
                <w:b/>
                <w:bCs/>
                <w:color w:val="102E4F"/>
                <w:sz w:val="24"/>
                <w:szCs w:val="24"/>
              </w:rPr>
              <w:t xml:space="preserve">Nitrogen process tank</w:t>
            </w:r>
          </w:p>
          <w:p>
            <w:pPr>
              <w:spacing w:after="65" w:line="210" w:lineRule="atLeast"/>
            </w:pPr>
            <w:r>
              <w:rPr>
                <w:color w:val="64748B"/>
                <w:sz w:val="17"/>
                <w:szCs w:val="17"/>
              </w:rPr>
              <w:t xml:space="preserve">Vertical Air Tank 240 US gal</w:t>
            </w:r>
          </w:p>
          <w:p>
            <w:pPr>
              <w:spacing w:after="65"/>
              <w:jc w:val="center"/>
            </w:pPr>
            <w:r>
              <w:drawing>
                <wp:inline distT="0" distB="0" distL="0" distR="0">
                  <wp:extent cx="61912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19125" cy="904875"/>
                          </a:xfrm>
                          <a:prstGeom prst="rect">
                            <a:avLst/>
                          </a:prstGeom>
                        </pic:spPr>
                      </pic:pic>
                    </a:graphicData>
                  </a:graphic>
                </wp:inline>
              </w:drawing>
            </w:r>
          </w:p>
          <w:p>
            <w:pPr>
              <w:spacing w:after="25" w:line="195" w:lineRule="atLeast"/>
            </w:pPr>
            <w:r>
              <w:rPr>
                <w:color w:val="243B5A"/>
                <w:sz w:val="16"/>
                <w:szCs w:val="16"/>
              </w:rPr>
              <w:t xml:space="preserve">Vessel capacity: 240 US gal</w:t>
            </w:r>
          </w:p>
          <w:p>
            <w:pPr>
              <w:spacing w:after="0" w:line="210" w:lineRule="atLeast"/>
            </w:pPr>
            <w:r>
              <w:rPr>
                <w:color w:val="243B5A"/>
                <w:sz w:val="17"/>
                <w:szCs w:val="17"/>
              </w:rPr>
              <w:t xml:space="preserve">Why this unit: Receives generated nitrogen while the analysis instruments verify its quality.</w:t>
            </w:r>
          </w:p>
        </w:tc>
        <w:tc>
          <w:tcPr>
            <w:tcW w:type="pct" w:w="50%"/>
            <w:shd w:fill="FFFFFF"/>
            <w:tcMar>
              <w:top w:type="dxa" w:w="170"/>
              <w:left w:type="dxa" w:w="170"/>
              <w:bottom w:type="dxa" w:w="170"/>
              <w:right w:type="dxa" w:w="170"/>
            </w:tcMar>
          </w:tcPr>
          <w:p>
            <w:pPr>
              <w:spacing w:after="65" w:line="260" w:lineRule="atLeast"/>
            </w:pPr>
            <w:r>
              <w:rPr>
                <w:b/>
                <w:bCs/>
                <w:color w:val="207C61"/>
                <w:sz w:val="14"/>
                <w:szCs w:val="14"/>
              </w:rPr>
              <w:t xml:space="preserve">INCLUDED · QTY 1</w:t>
            </w:r>
          </w:p>
          <w:p>
            <w:pPr>
              <w:spacing w:after="45" w:line="260" w:lineRule="atLeast"/>
            </w:pPr>
            <w:r>
              <w:rPr>
                <w:b/>
                <w:bCs/>
                <w:color w:val="102E4F"/>
                <w:sz w:val="24"/>
                <w:szCs w:val="24"/>
              </w:rPr>
              <w:t xml:space="preserve">Nitrogen buffer tank</w:t>
            </w:r>
          </w:p>
          <w:p>
            <w:pPr>
              <w:spacing w:after="65" w:line="210" w:lineRule="atLeast"/>
            </w:pPr>
            <w:r>
              <w:rPr>
                <w:color w:val="64748B"/>
                <w:sz w:val="17"/>
                <w:szCs w:val="17"/>
              </w:rPr>
              <w:t xml:space="preserve">Vertical Air Tank 240 US gal</w:t>
            </w:r>
          </w:p>
          <w:p>
            <w:pPr>
              <w:spacing w:after="65"/>
              <w:jc w:val="center"/>
            </w:pPr>
            <w:r>
              <w:drawing>
                <wp:inline distT="0" distB="0" distL="0" distR="0">
                  <wp:extent cx="61912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19125" cy="904875"/>
                          </a:xfrm>
                          <a:prstGeom prst="rect">
                            <a:avLst/>
                          </a:prstGeom>
                        </pic:spPr>
                      </pic:pic>
                    </a:graphicData>
                  </a:graphic>
                </wp:inline>
              </w:drawing>
            </w:r>
          </w:p>
          <w:p>
            <w:pPr>
              <w:spacing w:after="25" w:line="195" w:lineRule="atLeast"/>
            </w:pPr>
            <w:r>
              <w:rPr>
                <w:color w:val="243B5A"/>
                <w:sz w:val="16"/>
                <w:szCs w:val="16"/>
              </w:rPr>
              <w:t xml:space="preserve">Vessel capacity: 240 US gal</w:t>
            </w:r>
          </w:p>
          <w:p>
            <w:pPr>
              <w:spacing w:after="0" w:line="210" w:lineRule="atLeast"/>
            </w:pPr>
            <w:r>
              <w:rPr>
                <w:color w:val="243B5A"/>
                <w:sz w:val="17"/>
                <w:szCs w:val="17"/>
              </w:rPr>
              <w:t xml:space="preserve">Why this unit: Stores qualified nitrogen and smooths downstream demand.</w:t>
            </w:r>
          </w:p>
        </w:tc>
      </w:tr>
    </w:tbl>
    <w:p>
      <w:pPr>
        <w:spacing w:after="70" w:line="120" w:lineRule="atLeast"/>
      </w:pPr>
      <w:r>
        <w:rPr>
          <w:color w:val="243B5A"/>
          <w:sz w:val="4"/>
          <w:szCs w:val="4"/>
        </w:rPr>
        <w:t xml:space="preserve"/>
      </w:r>
    </w:p>
    <w:p>
      <w:r>
        <w:br w:type="page"/>
      </w:r>
    </w:p>
    <w:p>
      <w:pPr>
        <w:spacing w:after="45" w:line="200" w:lineRule="atLeast"/>
      </w:pPr>
      <w:r>
        <w:rPr>
          <w:b/>
          <w:bCs/>
          <w:color w:val="FF5A00"/>
          <w:sz w:val="16"/>
          <w:szCs w:val="16"/>
        </w:rPr>
        <w:t xml:space="preserve">08 · SUPPLY BOUNDARIES</w:t>
      </w:r>
    </w:p>
    <w:p>
      <w:pPr>
        <w:spacing w:after="65" w:line="470" w:lineRule="atLeast"/>
      </w:pPr>
      <w:r>
        <w:rPr>
          <w:b/>
          <w:bCs/>
          <w:color w:val="102E4F"/>
          <w:sz w:val="44"/>
          <w:szCs w:val="44"/>
        </w:rPr>
        <w:t xml:space="preserve">What’s included. Who does what.</w:t>
      </w:r>
    </w:p>
    <w:p>
      <w:pPr>
        <w:spacing w:after="190" w:line="250" w:lineRule="atLeast"/>
      </w:pPr>
      <w:r>
        <w:rPr>
          <w:color w:val="64748B"/>
          <w:sz w:val="20"/>
          <w:szCs w:val="20"/>
        </w:rPr>
        <w:t xml:space="preserve">Equipment supply and site installation each have a clear owner.</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50"/>
        <w:gridCol w:w="50"/>
      </w:tblGrid>
      <w:tr>
        <w:trPr>
          <w:cantSplit/>
        </w:trPr>
        <w:tc>
          <w:tcPr>
            <w:tcW w:type="pct" w:w="50%"/>
            <w:shd w:fill="E7F3EE" w:val="clear"/>
            <w:tcMar>
              <w:top w:type="dxa" w:w="250"/>
              <w:left w:type="dxa" w:w="220"/>
              <w:bottom w:type="dxa" w:w="250"/>
              <w:right w:type="dxa" w:w="220"/>
            </w:tcMar>
            <w:vAlign w:val="center"/>
          </w:tcPr>
          <w:p>
            <w:pPr>
              <w:spacing w:after="30"/>
            </w:pPr>
            <w:r>
              <w:rPr>
                <w:color w:val="243B5A"/>
                <w:sz w:val="21"/>
                <w:szCs w:val="21"/>
              </w:rPr>
              <w:t xml:space="preserve">Safe Equip supplies</w:t>
            </w:r>
          </w:p>
          <w:p>
            <w:pPr>
              <w:spacing w:after="30"/>
            </w:pPr>
            <w:r>
              <w:rPr>
                <w:color w:val="243B5A"/>
                <w:sz w:val="21"/>
                <w:szCs w:val="21"/>
              </w:rPr>
              <w:t xml:space="preserve"/>
            </w:r>
          </w:p>
          <w:p>
            <w:pPr>
              <w:spacing w:after="30"/>
            </w:pPr>
            <w:r>
              <w:rPr>
                <w:color w:val="243B5A"/>
                <w:sz w:val="21"/>
                <w:szCs w:val="21"/>
              </w:rPr>
              <w:t xml:space="preserve">The equipment in the included Bill of Materials.</w:t>
            </w:r>
          </w:p>
          <w:p>
            <w:pPr>
              <w:spacing w:after="30"/>
            </w:pPr>
            <w:r>
              <w:rPr>
                <w:color w:val="243B5A"/>
                <w:sz w:val="21"/>
                <w:szCs w:val="21"/>
              </w:rPr>
              <w:t xml:space="preserve"/>
            </w:r>
          </w:p>
          <w:p>
            <w:pPr>
              <w:spacing w:after="30"/>
            </w:pPr>
            <w:r>
              <w:rPr>
                <w:color w:val="243B5A"/>
                <w:sz w:val="21"/>
                <w:szCs w:val="21"/>
              </w:rPr>
              <w:t xml:space="preserve">Delivery is excluded unless expressly included in the commercial scope.</w:t>
            </w:r>
          </w:p>
          <w:p>
            <w:pPr>
              <w:spacing w:after="30"/>
            </w:pPr>
            <w:r>
              <w:rPr>
                <w:color w:val="243B5A"/>
                <w:sz w:val="21"/>
                <w:szCs w:val="21"/>
              </w:rPr>
              <w:t xml:space="preserve"/>
            </w:r>
          </w:p>
          <w:p>
            <w:pPr>
              <w:spacing w:after="30"/>
            </w:pPr>
            <w:r>
              <w:rPr>
                <w:color w:val="243B5A"/>
                <w:sz w:val="21"/>
                <w:szCs w:val="21"/>
              </w:rPr>
              <w:t xml:space="preserve">Installation supervision and commissioning are excluded unless expressly included in the commercial scope.</w:t>
            </w:r>
          </w:p>
          <w:p>
            <w:pPr>
              <w:spacing w:after="30"/>
            </w:pPr>
            <w:r>
              <w:rPr>
                <w:color w:val="243B5A"/>
                <w:sz w:val="21"/>
                <w:szCs w:val="21"/>
              </w:rPr>
              <w:t xml:space="preserve"/>
            </w:r>
          </w:p>
          <w:p>
            <w:pPr>
              <w:spacing w:after="30"/>
            </w:pPr>
            <w:r>
              <w:rPr>
                <w:color w:val="243B5A"/>
                <w:sz w:val="21"/>
                <w:szCs w:val="21"/>
              </w:rPr>
              <w:t xml:space="preserve">The equipment documentation listed in this quote’s document register.</w:t>
            </w:r>
          </w:p>
          <w:p>
            <w:pPr>
              <w:spacing w:after="30"/>
            </w:pPr>
            <w:r>
              <w:rPr>
                <w:color w:val="243B5A"/>
                <w:sz w:val="21"/>
                <w:szCs w:val="21"/>
              </w:rPr>
              <w:t xml:space="preserve"/>
            </w:r>
          </w:p>
          <w:p>
            <w:pPr>
              <w:spacing w:after="0"/>
            </w:pPr>
            <w:r>
              <w:rPr>
                <w:color w:val="243B5A"/>
                <w:sz w:val="21"/>
                <w:szCs w:val="21"/>
              </w:rPr>
              <w:t xml:space="preserve">Warranty: 12 months for supplied equipment.</w:t>
            </w:r>
          </w:p>
        </w:tc>
        <w:tc>
          <w:tcPr>
            <w:tcW w:type="pct" w:w="50%"/>
            <w:shd w:fill="EDF0F3" w:val="clear"/>
            <w:tcMar>
              <w:top w:type="dxa" w:w="250"/>
              <w:left w:type="dxa" w:w="220"/>
              <w:bottom w:type="dxa" w:w="250"/>
              <w:right w:type="dxa" w:w="220"/>
            </w:tcMar>
            <w:vAlign w:val="center"/>
          </w:tcPr>
          <w:p>
            <w:pPr>
              <w:spacing w:after="30"/>
            </w:pPr>
            <w:r>
              <w:rPr>
                <w:color w:val="243B5A"/>
                <w:sz w:val="21"/>
                <w:szCs w:val="21"/>
              </w:rPr>
              <w:t xml:space="preserve">Customer or local contractor</w:t>
            </w:r>
          </w:p>
          <w:p>
            <w:pPr>
              <w:spacing w:after="30"/>
            </w:pPr>
            <w:r>
              <w:rPr>
                <w:color w:val="243B5A"/>
                <w:sz w:val="21"/>
                <w:szCs w:val="21"/>
              </w:rPr>
              <w:t xml:space="preserve"/>
            </w:r>
          </w:p>
          <w:p>
            <w:pPr>
              <w:spacing w:after="30"/>
            </w:pPr>
            <w:r>
              <w:rPr>
                <w:color w:val="243B5A"/>
                <w:sz w:val="21"/>
                <w:szCs w:val="21"/>
              </w:rPr>
              <w:t xml:space="preserve">Site access and unloading.</w:t>
            </w:r>
          </w:p>
          <w:p>
            <w:pPr>
              <w:spacing w:after="30"/>
            </w:pPr>
            <w:r>
              <w:rPr>
                <w:color w:val="243B5A"/>
                <w:sz w:val="21"/>
                <w:szCs w:val="21"/>
              </w:rPr>
              <w:t xml:space="preserve"/>
            </w:r>
          </w:p>
          <w:p>
            <w:pPr>
              <w:spacing w:after="30"/>
            </w:pPr>
            <w:r>
              <w:rPr>
                <w:color w:val="243B5A"/>
                <w:sz w:val="21"/>
                <w:szCs w:val="21"/>
              </w:rPr>
              <w:t xml:space="preserve">Foundations, supports and local civil works.</w:t>
            </w:r>
          </w:p>
          <w:p>
            <w:pPr>
              <w:spacing w:after="30"/>
            </w:pPr>
            <w:r>
              <w:rPr>
                <w:color w:val="243B5A"/>
                <w:sz w:val="21"/>
                <w:szCs w:val="21"/>
              </w:rPr>
              <w:t xml:space="preserve"/>
            </w:r>
          </w:p>
          <w:p>
            <w:pPr>
              <w:spacing w:after="30"/>
            </w:pPr>
            <w:r>
              <w:rPr>
                <w:color w:val="243B5A"/>
                <w:sz w:val="21"/>
                <w:szCs w:val="21"/>
              </w:rPr>
              <w:t xml:space="preserve">Interconnecting process pipework and electrical installation.</w:t>
            </w:r>
          </w:p>
          <w:p>
            <w:pPr>
              <w:spacing w:after="30"/>
            </w:pPr>
            <w:r>
              <w:rPr>
                <w:color w:val="243B5A"/>
                <w:sz w:val="21"/>
                <w:szCs w:val="21"/>
              </w:rPr>
              <w:t xml:space="preserve"/>
            </w:r>
          </w:p>
          <w:p>
            <w:pPr>
              <w:spacing w:after="30"/>
            </w:pPr>
            <w:r>
              <w:rPr>
                <w:color w:val="243B5A"/>
                <w:sz w:val="21"/>
                <w:szCs w:val="21"/>
              </w:rPr>
              <w:t xml:space="preserve">Utilities, local permits and approvals.</w:t>
            </w:r>
          </w:p>
          <w:p>
            <w:pPr>
              <w:spacing w:after="30"/>
            </w:pPr>
            <w:r>
              <w:rPr>
                <w:color w:val="243B5A"/>
                <w:sz w:val="21"/>
                <w:szCs w:val="21"/>
              </w:rPr>
              <w:t xml:space="preserve"/>
            </w:r>
          </w:p>
          <w:p>
            <w:pPr>
              <w:spacing w:after="0"/>
            </w:pPr>
            <w:r>
              <w:rPr>
                <w:color w:val="243B5A"/>
                <w:sz w:val="21"/>
                <w:szCs w:val="21"/>
              </w:rPr>
              <w:t xml:space="preserve">Connection to the plant nitrogen distribution system.</w:t>
            </w:r>
          </w:p>
        </w:tc>
      </w:tr>
    </w:tbl>
    <w:p>
      <w:r>
        <w:br w:type="page"/>
      </w:r>
    </w:p>
    <w:p>
      <w:pPr>
        <w:spacing w:after="45" w:line="200" w:lineRule="atLeast"/>
      </w:pPr>
      <w:r>
        <w:rPr>
          <w:b/>
          <w:bCs/>
          <w:color w:val="FF5A00"/>
          <w:sz w:val="16"/>
          <w:szCs w:val="16"/>
        </w:rPr>
        <w:t xml:space="preserve">09 · DESIGN CONFIRMATION</w:t>
      </w:r>
    </w:p>
    <w:p>
      <w:pPr>
        <w:spacing w:after="65" w:line="470" w:lineRule="atLeast"/>
      </w:pPr>
      <w:r>
        <w:rPr>
          <w:b/>
          <w:bCs/>
          <w:color w:val="102E4F"/>
          <w:sz w:val="44"/>
          <w:szCs w:val="44"/>
        </w:rPr>
        <w:t xml:space="preserve">Turn the selection into your project</w:t>
      </w:r>
    </w:p>
    <w:p>
      <w:pPr>
        <w:spacing w:after="190" w:line="250" w:lineRule="atLeast"/>
      </w:pPr>
      <w:r>
        <w:rPr>
          <w:color w:val="64748B"/>
          <w:sz w:val="20"/>
          <w:szCs w:val="20"/>
        </w:rPr>
        <w:t xml:space="preserve">A short confirmation review prevents hidden changes to equipment, price, footprint, and schedule.</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28"/>
        <w:gridCol w:w="54"/>
        <w:gridCol w:w="18"/>
      </w:tblGrid>
      <w:tr>
        <w:trPr>
          <w:cantSplit/>
        </w:trPr>
        <w:tc>
          <w:tcPr>
            <w:tcW w:type="pct" w:w="28%"/>
            <w:shd w:fill="102E4F" w:val="clear"/>
            <w:tcMar>
              <w:top w:type="dxa" w:w="80"/>
              <w:left w:type="dxa" w:w="100"/>
              <w:bottom w:type="dxa" w:w="80"/>
              <w:right w:type="dxa" w:w="100"/>
            </w:tcMar>
            <w:vAlign w:val="center"/>
          </w:tcPr>
          <w:p>
            <w:pPr>
              <w:spacing w:after="0"/>
            </w:pPr>
            <w:r>
              <w:rPr>
                <w:b/>
                <w:bCs/>
                <w:color w:val="FFFFFF"/>
                <w:sz w:val="18"/>
                <w:szCs w:val="18"/>
              </w:rPr>
              <w:t xml:space="preserve">Review item</w:t>
            </w:r>
          </w:p>
        </w:tc>
        <w:tc>
          <w:tcPr>
            <w:tcW w:type="pct" w:w="54%"/>
            <w:shd w:fill="102E4F" w:val="clear"/>
            <w:tcMar>
              <w:top w:type="dxa" w:w="80"/>
              <w:left w:type="dxa" w:w="100"/>
              <w:bottom w:type="dxa" w:w="80"/>
              <w:right w:type="dxa" w:w="100"/>
            </w:tcMar>
            <w:vAlign w:val="center"/>
          </w:tcPr>
          <w:p>
            <w:pPr>
              <w:spacing w:after="0"/>
            </w:pPr>
            <w:r>
              <w:rPr>
                <w:b/>
                <w:bCs/>
                <w:color w:val="FFFFFF"/>
                <w:sz w:val="18"/>
                <w:szCs w:val="18"/>
              </w:rPr>
              <w:t xml:space="preserve">What will be confirmed</w:t>
            </w:r>
          </w:p>
        </w:tc>
        <w:tc>
          <w:tcPr>
            <w:tcW w:type="pct" w:w="18%"/>
            <w:shd w:fill="102E4F" w:val="clear"/>
            <w:tcMar>
              <w:top w:type="dxa" w:w="80"/>
              <w:left w:type="dxa" w:w="100"/>
              <w:bottom w:type="dxa" w:w="80"/>
              <w:right w:type="dxa" w:w="100"/>
            </w:tcMar>
            <w:vAlign w:val="center"/>
          </w:tcPr>
          <w:p>
            <w:pPr>
              <w:spacing w:after="0"/>
            </w:pPr>
            <w:r>
              <w:rPr>
                <w:b/>
                <w:bCs/>
                <w:color w:val="FFFFFF"/>
                <w:sz w:val="18"/>
                <w:szCs w:val="18"/>
              </w:rPr>
              <w:t xml:space="preserve">Status</w:t>
            </w:r>
          </w:p>
        </w:tc>
      </w:tr>
      <w:tr>
        <w:trPr>
          <w:cantSplit/>
        </w:trPr>
        <w:tc>
          <w:tcPr>
            <w:tcW w:type="pct" w:w="28%"/>
            <w:shd w:fill="FFFFFF" w:val="clear"/>
            <w:tcMar>
              <w:top w:type="dxa" w:w="80"/>
              <w:left w:type="dxa" w:w="100"/>
              <w:bottom w:type="dxa" w:w="80"/>
              <w:right w:type="dxa" w:w="100"/>
            </w:tcMar>
            <w:vAlign w:val="center"/>
          </w:tcPr>
          <w:p>
            <w:pPr>
              <w:spacing w:after="0"/>
            </w:pPr>
            <w:r>
              <w:rPr>
                <w:b/>
                <w:bCs/>
                <w:color w:val="102E4F"/>
                <w:sz w:val="18"/>
                <w:szCs w:val="18"/>
              </w:rPr>
              <w:t xml:space="preserve">Outlet pressure</w:t>
            </w:r>
          </w:p>
        </w:tc>
        <w:tc>
          <w:tcPr>
            <w:tcW w:type="pct" w:w="54%"/>
            <w:shd w:fill="FFFFFF" w:val="clear"/>
            <w:tcMar>
              <w:top w:type="dxa" w:w="80"/>
              <w:left w:type="dxa" w:w="100"/>
              <w:bottom w:type="dxa" w:w="80"/>
              <w:right w:type="dxa" w:w="100"/>
            </w:tcMar>
            <w:vAlign w:val="center"/>
          </w:tcPr>
          <w:p>
            <w:pPr>
              <w:spacing w:after="0"/>
            </w:pPr>
            <w:r>
              <w:rPr>
                <w:color w:val="243B5A"/>
                <w:sz w:val="18"/>
                <w:szCs w:val="18"/>
              </w:rPr>
              <w:t xml:space="preserve">Up to 100 psig</w:t>
            </w:r>
          </w:p>
        </w:tc>
        <w:tc>
          <w:tcPr>
            <w:tcW w:type="pct" w:w="18%"/>
            <w:shd w:fill="FFFFFF" w:val="clear"/>
            <w:tcMar>
              <w:top w:type="dxa" w:w="80"/>
              <w:left w:type="dxa" w:w="100"/>
              <w:bottom w:type="dxa" w:w="80"/>
              <w:right w:type="dxa" w:w="100"/>
            </w:tcMar>
            <w:vAlign w:val="center"/>
          </w:tcPr>
          <w:p>
            <w:pPr>
              <w:spacing w:after="0"/>
            </w:pPr>
            <w:r>
              <w:rPr>
                <w:b/>
                <w:bCs/>
                <w:color w:val="FF5A00"/>
                <w:sz w:val="18"/>
                <w:szCs w:val="18"/>
              </w:rPr>
              <w:t xml:space="preserve">Defined in the agreed acceptance plan</w:t>
            </w:r>
          </w:p>
        </w:tc>
      </w:tr>
      <w:tr>
        <w:trPr>
          <w:cantSplit/>
        </w:trPr>
        <w:tc>
          <w:tcPr>
            <w:tcW w:type="pct" w:w="28%"/>
            <w:shd w:fill="F1F5FA" w:val="clear"/>
            <w:tcMar>
              <w:top w:type="dxa" w:w="80"/>
              <w:left w:type="dxa" w:w="100"/>
              <w:bottom w:type="dxa" w:w="80"/>
              <w:right w:type="dxa" w:w="100"/>
            </w:tcMar>
            <w:vAlign w:val="center"/>
          </w:tcPr>
          <w:p>
            <w:pPr>
              <w:spacing w:after="0"/>
            </w:pPr>
            <w:r>
              <w:rPr>
                <w:b/>
                <w:bCs/>
                <w:color w:val="102E4F"/>
                <w:sz w:val="18"/>
                <w:szCs w:val="18"/>
              </w:rPr>
              <w:t xml:space="preserve">Inlet-air quality</w:t>
            </w:r>
          </w:p>
        </w:tc>
        <w:tc>
          <w:tcPr>
            <w:tcW w:type="pct" w:w="54%"/>
            <w:shd w:fill="F1F5FA" w:val="clear"/>
            <w:tcMar>
              <w:top w:type="dxa" w:w="80"/>
              <w:left w:type="dxa" w:w="100"/>
              <w:bottom w:type="dxa" w:w="80"/>
              <w:right w:type="dxa" w:w="100"/>
            </w:tcMar>
            <w:vAlign w:val="center"/>
          </w:tcPr>
          <w:p>
            <w:pPr>
              <w:spacing w:after="0"/>
            </w:pPr>
            <w:r>
              <w:rPr>
                <w:color w:val="243B5A"/>
                <w:sz w:val="18"/>
                <w:szCs w:val="18"/>
              </w:rPr>
              <w:t xml:space="preserve">ISO 8573-1:2010 Class 1.4.1</w:t>
            </w:r>
          </w:p>
        </w:tc>
        <w:tc>
          <w:tcPr>
            <w:tcW w:type="pct" w:w="18%"/>
            <w:shd w:fill="F1F5FA" w:val="clear"/>
            <w:tcMar>
              <w:top w:type="dxa" w:w="80"/>
              <w:left w:type="dxa" w:w="100"/>
              <w:bottom w:type="dxa" w:w="80"/>
              <w:right w:type="dxa" w:w="100"/>
            </w:tcMar>
            <w:vAlign w:val="center"/>
          </w:tcPr>
          <w:p>
            <w:pPr>
              <w:spacing w:after="0"/>
            </w:pPr>
            <w:r>
              <w:rPr>
                <w:b/>
                <w:bCs/>
                <w:color w:val="FF5A00"/>
                <w:sz w:val="18"/>
                <w:szCs w:val="18"/>
              </w:rPr>
              <w:t xml:space="preserve">Defined in the agreed acceptance plan</w:t>
            </w:r>
          </w:p>
        </w:tc>
      </w:tr>
    </w:tbl>
    <w:p>
      <w:pPr>
        <w:spacing w:after="65" w:line="260" w:lineRule="atLeast"/>
      </w:pPr>
      <w:r>
        <w:rPr>
          <w:b/>
          <w:bCs/>
          <w:color w:val="102E4F"/>
          <w:sz w:val="22"/>
          <w:szCs w:val="22"/>
        </w:rPr>
        <w:t xml:space="preserve">CUSTOMER INPUTS</w:t>
      </w:r>
    </w:p>
    <w:p>
      <w:pPr>
        <w:pStyle w:val="ListParagraph"/>
        <w:numPr>
          <w:ilvl w:val="0"/>
          <w:numId w:val="1"/>
        </w:numPr>
        <w:spacing w:after="80"/>
      </w:pPr>
      <w:r>
        <w:rPr>
          <w:color w:val="243B5A"/>
          <w:sz w:val="20"/>
          <w:szCs w:val="20"/>
        </w:rPr>
        <w:t xml:space="preserve">Confirm site utilities and available electrical service.</w:t>
      </w:r>
    </w:p>
    <w:p>
      <w:pPr>
        <w:pStyle w:val="ListParagraph"/>
        <w:numPr>
          <w:ilvl w:val="0"/>
          <w:numId w:val="1"/>
        </w:numPr>
        <w:spacing w:after="80"/>
      </w:pPr>
      <w:r>
        <w:rPr>
          <w:color w:val="243B5A"/>
          <w:sz w:val="20"/>
          <w:szCs w:val="20"/>
        </w:rPr>
        <w:t xml:space="preserve">Confirm the normal, peak, and future nitrogen demand profile.</w:t>
      </w:r>
    </w:p>
    <w:p>
      <w:pPr>
        <w:pStyle w:val="ListParagraph"/>
        <w:numPr>
          <w:ilvl w:val="0"/>
          <w:numId w:val="1"/>
        </w:numPr>
        <w:spacing w:after="80"/>
      </w:pPr>
      <w:r>
        <w:rPr>
          <w:color w:val="243B5A"/>
          <w:sz w:val="20"/>
          <w:szCs w:val="20"/>
        </w:rPr>
        <w:t xml:space="preserve">Confirm installation location, ambient conditions, and tie-in requirements.</w:t>
      </w:r>
    </w:p>
    <w:p>
      <w:pPr>
        <w:spacing w:after="65" w:line="260" w:lineRule="atLeast"/>
      </w:pPr>
      <w:r>
        <w:rPr>
          <w:b/>
          <w:bCs/>
          <w:color w:val="102E4F"/>
          <w:sz w:val="22"/>
          <w:szCs w:val="22"/>
        </w:rPr>
        <w:t xml:space="preserve">REVIEW OUTCOME</w:t>
      </w:r>
    </w:p>
    <w:p>
      <w:pPr>
        <w:pStyle w:val="ListParagraph"/>
        <w:numPr>
          <w:ilvl w:val="0"/>
          <w:numId w:val="1"/>
        </w:numPr>
        <w:spacing w:after="80"/>
      </w:pPr>
      <w:r>
        <w:rPr>
          <w:color w:val="243B5A"/>
          <w:sz w:val="20"/>
          <w:szCs w:val="20"/>
        </w:rPr>
        <w:t xml:space="preserve">Confirmed design basis and equipment interfaces.</w:t>
      </w:r>
    </w:p>
    <w:p>
      <w:pPr>
        <w:pStyle w:val="ListParagraph"/>
        <w:numPr>
          <w:ilvl w:val="0"/>
          <w:numId w:val="1"/>
        </w:numPr>
        <w:spacing w:after="80"/>
      </w:pPr>
      <w:r>
        <w:rPr>
          <w:color w:val="243B5A"/>
          <w:sz w:val="20"/>
          <w:szCs w:val="20"/>
        </w:rPr>
        <w:t xml:space="preserve">Approved equipment schedule and project-specific submittal list.</w:t>
      </w:r>
    </w:p>
    <w:p>
      <w:pPr>
        <w:pStyle w:val="ListParagraph"/>
        <w:numPr>
          <w:ilvl w:val="0"/>
          <w:numId w:val="1"/>
        </w:numPr>
        <w:spacing w:after="80"/>
      </w:pPr>
      <w:r>
        <w:rPr>
          <w:color w:val="243B5A"/>
          <w:sz w:val="20"/>
          <w:szCs w:val="20"/>
        </w:rPr>
        <w:t xml:space="preserve">Formal commercial quotation with the final scope and execution terms.</w:t>
      </w:r>
    </w:p>
    <w:tbl>
      <w:tblPr>
        <w:tblW w:type="pct" w:w="100%"/>
        <w:tblBorders>
          <w:top w:val="single" w:color="FF5A00" w:sz="10"/>
          <w:left w:val="single" w:color="FF5A00" w:sz="10"/>
          <w:bottom w:val="single" w:color="FF5A00" w:sz="10"/>
          <w:right w:val="single" w:color="FF5A00" w:sz="10"/>
          <w:insideH w:val="single" w:color="auto" w:sz="4"/>
          <w:insideV w:val="single" w:color="auto" w:sz="4"/>
        </w:tblBorders>
      </w:tblPr>
      <w:tblGrid>
        <w:gridCol w:w="100"/>
      </w:tblGrid>
      <w:tr>
        <w:tc>
          <w:tcPr>
            <w:tcW w:type="pct" w:w="100%"/>
            <w:shd w:fill="FFF1E8" w:val="clear"/>
            <w:tcMar>
              <w:top w:type="dxa" w:w="120"/>
              <w:left w:type="dxa" w:w="150"/>
              <w:bottom w:type="dxa" w:w="120"/>
              <w:right w:type="dxa" w:w="150"/>
            </w:tcMar>
          </w:tcPr>
          <w:p>
            <w:pPr>
              <w:spacing w:after="45" w:line="220" w:lineRule="atLeast"/>
            </w:pPr>
            <w:r>
              <w:rPr>
                <w:b/>
                <w:bCs/>
                <w:color w:val="102E4F"/>
                <w:sz w:val="22"/>
                <w:szCs w:val="22"/>
              </w:rPr>
              <w:t xml:space="preserve">Current status</w:t>
            </w:r>
          </w:p>
          <w:p>
            <w:pPr>
              <w:spacing w:after="0" w:line="235" w:lineRule="atLeast"/>
            </w:pPr>
            <w:r>
              <w:rPr>
                <w:color w:val="243B5A"/>
                <w:sz w:val="18"/>
                <w:szCs w:val="18"/>
              </w:rPr>
              <w:t xml:space="preserve">Budgetary selection · engineering confirmation required before order release.</w:t>
            </w:r>
          </w:p>
        </w:tc>
      </w:tr>
    </w:tbl>
    <w:p>
      <w:r>
        <w:br w:type="page"/>
      </w:r>
    </w:p>
    <w:p>
      <w:pPr>
        <w:spacing w:after="45" w:line="200" w:lineRule="atLeast"/>
      </w:pPr>
      <w:r>
        <w:rPr>
          <w:b/>
          <w:bCs/>
          <w:color w:val="FF5A00"/>
          <w:sz w:val="16"/>
          <w:szCs w:val="16"/>
        </w:rPr>
        <w:t xml:space="preserve">09B · ACCEPTANCE</w:t>
      </w:r>
    </w:p>
    <w:p>
      <w:pPr>
        <w:spacing w:after="65" w:line="470" w:lineRule="atLeast"/>
      </w:pPr>
      <w:r>
        <w:rPr>
          <w:b/>
          <w:bCs/>
          <w:color w:val="102E4F"/>
          <w:sz w:val="44"/>
          <w:szCs w:val="44"/>
        </w:rPr>
        <w:t xml:space="preserve">Verify performance before handover</w:t>
      </w:r>
    </w:p>
    <w:p>
      <w:pPr>
        <w:spacing w:after="190" w:line="250" w:lineRule="atLeast"/>
      </w:pPr>
      <w:r>
        <w:rPr>
          <w:color w:val="64748B"/>
          <w:sz w:val="20"/>
          <w:szCs w:val="20"/>
        </w:rPr>
        <w:t xml:space="preserve">The draft acceptance framework converts the proposal into measurable pass criteria.</w:t>
      </w:r>
    </w:p>
    <w:tbl>
      <w:tblPr>
        <w:tblW w:type="pct" w:w="100%"/>
        <w:tblBorders>
          <w:top w:val="none" w:sz="0"/>
          <w:left w:val="none" w:sz="0"/>
          <w:bottom w:val="none" w:sz="0"/>
          <w:right w:val="none" w:sz="0"/>
          <w:insideH w:val="single" w:color="auto" w:sz="4"/>
          <w:insideV w:val="none" w:sz="0"/>
        </w:tblBorders>
      </w:tblPr>
      <w:tblGrid>
        <w:gridCol w:w="50"/>
        <w:gridCol w:w="50"/>
      </w:tblGrid>
      <w:tr>
        <w:tc>
          <w:tcPr>
            <w:tcW w:type="pct" w:w="50%"/>
            <w:tcMar>
              <w:top w:type="dxa" w:w="20"/>
              <w:left w:type="dxa" w:w="30"/>
              <w:bottom w:type="dxa" w:w="55"/>
              <w:right w:type="dxa" w:w="90"/>
            </w:tcMar>
          </w:tcPr>
          <w:p>
            <w:pPr>
              <w:jc w:val="center"/>
            </w:pPr>
            <w:r>
              <w:drawing>
                <wp:inline distT="0" distB="0" distL="0" distR="0">
                  <wp:extent cx="1619250"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619250" cy="2152650"/>
                          </a:xfrm>
                          <a:prstGeom prst="rect">
                            <a:avLst/>
                          </a:prstGeom>
                        </pic:spPr>
                      </pic:pic>
                    </a:graphicData>
                  </a:graphic>
                </wp:inline>
              </w:drawing>
            </w:r>
          </w:p>
          <w:p>
            <w:pPr>
              <w:spacing w:after="0" w:line="260" w:lineRule="atLeast"/>
              <w:jc w:val="center"/>
            </w:pPr>
            <w:r>
              <w:rPr>
                <w:color w:val="64748B"/>
                <w:sz w:val="13"/>
                <w:szCs w:val="13"/>
              </w:rPr>
              <w:t xml:space="preserve">PSA equipment during factory assembly and inspection</w:t>
            </w:r>
          </w:p>
        </w:tc>
        <w:tc>
          <w:tcPr>
            <w:tcW w:type="pct" w:w="50%"/>
            <w:tcMar>
              <w:top w:type="dxa" w:w="20"/>
              <w:left w:type="dxa" w:w="90"/>
              <w:bottom w:type="dxa" w:w="55"/>
              <w:right w:type="dxa" w:w="30"/>
            </w:tcMar>
          </w:tcPr>
          <w:p>
            <w:pPr>
              <w:jc w:val="center"/>
            </w:pPr>
            <w:r>
              <w:drawing>
                <wp:inline distT="0" distB="0" distL="0" distR="0">
                  <wp:extent cx="1619250"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619250" cy="2152650"/>
                          </a:xfrm>
                          <a:prstGeom prst="rect">
                            <a:avLst/>
                          </a:prstGeom>
                        </pic:spPr>
                      </pic:pic>
                    </a:graphicData>
                  </a:graphic>
                </wp:inline>
              </w:drawing>
            </w:r>
          </w:p>
          <w:p>
            <w:pPr>
              <w:spacing w:after="0" w:line="260" w:lineRule="atLeast"/>
              <w:jc w:val="center"/>
            </w:pPr>
            <w:r>
              <w:rPr>
                <w:color w:val="64748B"/>
                <w:sz w:val="13"/>
                <w:szCs w:val="13"/>
              </w:rPr>
              <w:t xml:space="preserve">Valve train, instruments, and control panel before shipment</w:t>
            </w:r>
          </w:p>
        </w:tc>
      </w:tr>
    </w:tbl>
    <w:p>
      <w:pPr>
        <w:spacing w:after="55" w:line="260" w:lineRule="atLeast"/>
      </w:pPr>
      <w:r>
        <w:rPr>
          <w:b/>
          <w:bCs/>
          <w:color w:val="102E4F"/>
          <w:sz w:val="20"/>
          <w:szCs w:val="20"/>
        </w:rPr>
        <w:t xml:space="preserve">PROPOSED ACCEPTANCE FRAMEWORK</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26"/>
        <w:gridCol w:w="56"/>
        <w:gridCol w:w="18"/>
      </w:tblGrid>
      <w:tr>
        <w:trPr>
          <w:cantSplit/>
        </w:trPr>
        <w:tc>
          <w:tcPr>
            <w:tcW w:type="pct" w:w="26%"/>
            <w:shd w:fill="102E4F" w:val="clear"/>
            <w:tcMar>
              <w:top w:type="dxa" w:w="80"/>
              <w:left w:type="dxa" w:w="100"/>
              <w:bottom w:type="dxa" w:w="80"/>
              <w:right w:type="dxa" w:w="100"/>
            </w:tcMar>
            <w:vAlign w:val="center"/>
          </w:tcPr>
          <w:p>
            <w:pPr>
              <w:spacing w:after="0"/>
            </w:pPr>
            <w:r>
              <w:rPr>
                <w:b/>
                <w:bCs/>
                <w:color w:val="FFFFFF"/>
                <w:sz w:val="18"/>
                <w:szCs w:val="18"/>
              </w:rPr>
              <w:t xml:space="preserve">Review item</w:t>
            </w:r>
          </w:p>
        </w:tc>
        <w:tc>
          <w:tcPr>
            <w:tcW w:type="pct" w:w="56%"/>
            <w:shd w:fill="102E4F" w:val="clear"/>
            <w:tcMar>
              <w:top w:type="dxa" w:w="80"/>
              <w:left w:type="dxa" w:w="100"/>
              <w:bottom w:type="dxa" w:w="80"/>
              <w:right w:type="dxa" w:w="100"/>
            </w:tcMar>
            <w:vAlign w:val="center"/>
          </w:tcPr>
          <w:p>
            <w:pPr>
              <w:spacing w:after="0"/>
            </w:pPr>
            <w:r>
              <w:rPr>
                <w:b/>
                <w:bCs/>
                <w:color w:val="FFFFFF"/>
                <w:sz w:val="18"/>
                <w:szCs w:val="18"/>
              </w:rPr>
              <w:t xml:space="preserve">What will be confirmed</w:t>
            </w:r>
          </w:p>
        </w:tc>
        <w:tc>
          <w:tcPr>
            <w:tcW w:type="pct" w:w="18%"/>
            <w:shd w:fill="102E4F" w:val="clear"/>
            <w:tcMar>
              <w:top w:type="dxa" w:w="80"/>
              <w:left w:type="dxa" w:w="100"/>
              <w:bottom w:type="dxa" w:w="80"/>
              <w:right w:type="dxa" w:w="100"/>
            </w:tcMar>
            <w:vAlign w:val="center"/>
          </w:tcPr>
          <w:p>
            <w:pPr>
              <w:spacing w:after="0"/>
            </w:pPr>
            <w:r>
              <w:rPr>
                <w:b/>
                <w:bCs/>
                <w:color w:val="FFFFFF"/>
                <w:sz w:val="18"/>
                <w:szCs w:val="18"/>
              </w:rPr>
              <w:t xml:space="preserve">Status</w:t>
            </w:r>
          </w:p>
        </w:tc>
      </w:tr>
      <w:tr>
        <w:trPr>
          <w:cantSplit/>
        </w:trPr>
        <w:tc>
          <w:tcPr>
            <w:tcW w:type="pct" w:w="26%"/>
            <w:shd w:fill="FFFFFF" w:val="clear"/>
            <w:tcMar>
              <w:top w:type="dxa" w:w="80"/>
              <w:left w:type="dxa" w:w="100"/>
              <w:bottom w:type="dxa" w:w="80"/>
              <w:right w:type="dxa" w:w="100"/>
            </w:tcMar>
            <w:vAlign w:val="center"/>
          </w:tcPr>
          <w:p>
            <w:pPr>
              <w:spacing w:after="0"/>
            </w:pPr>
            <w:r>
              <w:rPr>
                <w:b/>
                <w:bCs/>
                <w:color w:val="102E4F"/>
                <w:sz w:val="18"/>
                <w:szCs w:val="18"/>
              </w:rPr>
              <w:t xml:space="preserve">Performance basis</w:t>
            </w:r>
          </w:p>
        </w:tc>
        <w:tc>
          <w:tcPr>
            <w:tcW w:type="pct" w:w="56%"/>
            <w:shd w:fill="FFFFFF" w:val="clear"/>
            <w:tcMar>
              <w:top w:type="dxa" w:w="80"/>
              <w:left w:type="dxa" w:w="100"/>
              <w:bottom w:type="dxa" w:w="80"/>
              <w:right w:type="dxa" w:w="100"/>
            </w:tcMar>
            <w:vAlign w:val="center"/>
          </w:tcPr>
          <w:p>
            <w:pPr>
              <w:spacing w:after="0"/>
            </w:pPr>
            <w:r>
              <w:rPr>
                <w:color w:val="243B5A"/>
                <w:sz w:val="18"/>
                <w:szCs w:val="18"/>
              </w:rPr>
              <w:t xml:space="preserve">Purity, flow, pressure, and inlet-air conditions documented against the approved design basis.</w:t>
            </w:r>
          </w:p>
        </w:tc>
        <w:tc>
          <w:tcPr>
            <w:tcW w:type="pct" w:w="18%"/>
            <w:shd w:fill="FFFFFF" w:val="clear"/>
            <w:tcMar>
              <w:top w:type="dxa" w:w="80"/>
              <w:left w:type="dxa" w:w="100"/>
              <w:bottom w:type="dxa" w:w="80"/>
              <w:right w:type="dxa" w:w="100"/>
            </w:tcMar>
            <w:vAlign w:val="center"/>
          </w:tcPr>
          <w:p>
            <w:pPr>
              <w:spacing w:after="0"/>
            </w:pPr>
            <w:r>
              <w:rPr>
                <w:b/>
                <w:bCs/>
                <w:color w:val="FF5A00"/>
                <w:sz w:val="18"/>
                <w:szCs w:val="18"/>
              </w:rPr>
              <w:t xml:space="preserve">Defined in the agreed acceptance plan</w:t>
            </w:r>
          </w:p>
        </w:tc>
      </w:tr>
      <w:tr>
        <w:trPr>
          <w:cantSplit/>
        </w:trPr>
        <w:tc>
          <w:tcPr>
            <w:tcW w:type="pct" w:w="26%"/>
            <w:shd w:fill="F1F5FA" w:val="clear"/>
            <w:tcMar>
              <w:top w:type="dxa" w:w="80"/>
              <w:left w:type="dxa" w:w="100"/>
              <w:bottom w:type="dxa" w:w="80"/>
              <w:right w:type="dxa" w:w="100"/>
            </w:tcMar>
            <w:vAlign w:val="center"/>
          </w:tcPr>
          <w:p>
            <w:pPr>
              <w:spacing w:after="0"/>
            </w:pPr>
            <w:r>
              <w:rPr>
                <w:b/>
                <w:bCs/>
                <w:color w:val="102E4F"/>
                <w:sz w:val="18"/>
                <w:szCs w:val="18"/>
              </w:rPr>
              <w:t xml:space="preserve">Factory verification</w:t>
            </w:r>
          </w:p>
        </w:tc>
        <w:tc>
          <w:tcPr>
            <w:tcW w:type="pct" w:w="56%"/>
            <w:shd w:fill="F1F5FA" w:val="clear"/>
            <w:tcMar>
              <w:top w:type="dxa" w:w="80"/>
              <w:left w:type="dxa" w:w="100"/>
              <w:bottom w:type="dxa" w:w="80"/>
              <w:right w:type="dxa" w:w="100"/>
            </w:tcMar>
            <w:vAlign w:val="center"/>
          </w:tcPr>
          <w:p>
            <w:pPr>
              <w:spacing w:after="0"/>
            </w:pPr>
            <w:r>
              <w:rPr>
                <w:color w:val="243B5A"/>
                <w:sz w:val="18"/>
                <w:szCs w:val="18"/>
              </w:rPr>
              <w:t xml:space="preserve">Project-specific inspection and test protocol defined in the approved submittal package.</w:t>
            </w:r>
          </w:p>
        </w:tc>
        <w:tc>
          <w:tcPr>
            <w:tcW w:type="pct" w:w="18%"/>
            <w:shd w:fill="F1F5FA" w:val="clear"/>
            <w:tcMar>
              <w:top w:type="dxa" w:w="80"/>
              <w:left w:type="dxa" w:w="100"/>
              <w:bottom w:type="dxa" w:w="80"/>
              <w:right w:type="dxa" w:w="100"/>
            </w:tcMar>
            <w:vAlign w:val="center"/>
          </w:tcPr>
          <w:p>
            <w:pPr>
              <w:spacing w:after="0"/>
            </w:pPr>
            <w:r>
              <w:rPr>
                <w:b/>
                <w:bCs/>
                <w:color w:val="FF5A00"/>
                <w:sz w:val="18"/>
                <w:szCs w:val="18"/>
              </w:rPr>
              <w:t xml:space="preserve">Included after order</w:t>
            </w:r>
          </w:p>
        </w:tc>
      </w:tr>
      <w:tr>
        <w:trPr>
          <w:cantSplit/>
        </w:trPr>
        <w:tc>
          <w:tcPr>
            <w:tcW w:type="pct" w:w="26%"/>
            <w:shd w:fill="FFFFFF" w:val="clear"/>
            <w:tcMar>
              <w:top w:type="dxa" w:w="80"/>
              <w:left w:type="dxa" w:w="100"/>
              <w:bottom w:type="dxa" w:w="80"/>
              <w:right w:type="dxa" w:w="100"/>
            </w:tcMar>
            <w:vAlign w:val="center"/>
          </w:tcPr>
          <w:p>
            <w:pPr>
              <w:spacing w:after="0"/>
            </w:pPr>
            <w:r>
              <w:rPr>
                <w:b/>
                <w:bCs/>
                <w:color w:val="102E4F"/>
                <w:sz w:val="18"/>
                <w:szCs w:val="18"/>
              </w:rPr>
              <w:t xml:space="preserve">Release record</w:t>
            </w:r>
          </w:p>
        </w:tc>
        <w:tc>
          <w:tcPr>
            <w:tcW w:type="pct" w:w="56%"/>
            <w:shd w:fill="FFFFFF" w:val="clear"/>
            <w:tcMar>
              <w:top w:type="dxa" w:w="80"/>
              <w:left w:type="dxa" w:w="100"/>
              <w:bottom w:type="dxa" w:w="80"/>
              <w:right w:type="dxa" w:w="100"/>
            </w:tcMar>
            <w:vAlign w:val="center"/>
          </w:tcPr>
          <w:p>
            <w:pPr>
              <w:spacing w:after="0"/>
            </w:pPr>
            <w:r>
              <w:rPr>
                <w:color w:val="243B5A"/>
                <w:sz w:val="18"/>
                <w:szCs w:val="18"/>
              </w:rPr>
              <w:t xml:space="preserve">Applicable drawings, manuals, and test evidence compiled before shipment release.</w:t>
            </w:r>
          </w:p>
        </w:tc>
        <w:tc>
          <w:tcPr>
            <w:tcW w:type="pct" w:w="18%"/>
            <w:shd w:fill="FFFFFF" w:val="clear"/>
            <w:tcMar>
              <w:top w:type="dxa" w:w="80"/>
              <w:left w:type="dxa" w:w="100"/>
              <w:bottom w:type="dxa" w:w="80"/>
              <w:right w:type="dxa" w:w="100"/>
            </w:tcMar>
            <w:vAlign w:val="center"/>
          </w:tcPr>
          <w:p>
            <w:pPr>
              <w:spacing w:after="0"/>
            </w:pPr>
            <w:r>
              <w:rPr>
                <w:b/>
                <w:bCs/>
                <w:color w:val="FF5A00"/>
                <w:sz w:val="18"/>
                <w:szCs w:val="18"/>
              </w:rPr>
              <w:t xml:space="preserve">Included after order</w:t>
            </w:r>
          </w:p>
        </w:tc>
      </w:tr>
    </w:tbl>
    <w:p>
      <w:pPr>
        <w:spacing w:after="90" w:line="260" w:lineRule="atLeast"/>
      </w:pPr>
      <w:r>
        <w:rPr>
          <w:color w:val="243B5A"/>
          <w:sz w:val="20"/>
          <w:szCs w:val="20"/>
        </w:rPr>
        <w:t xml:space="preserve"/>
      </w:r>
    </w:p>
    <w:tbl>
      <w:tblPr>
        <w:tblW w:type="pct" w:w="100%"/>
        <w:tblBorders>
          <w:top w:val="single" w:color="CAD7E8" w:sz="10"/>
          <w:left w:val="single" w:color="CAD7E8" w:sz="10"/>
          <w:bottom w:val="single" w:color="CAD7E8" w:sz="10"/>
          <w:right w:val="single" w:color="CAD7E8" w:sz="10"/>
          <w:insideH w:val="single" w:color="auto" w:sz="4"/>
          <w:insideV w:val="single" w:color="auto" w:sz="4"/>
        </w:tblBorders>
      </w:tblPr>
      <w:tblGrid>
        <w:gridCol w:w="100"/>
      </w:tblGrid>
      <w:tr>
        <w:tc>
          <w:tcPr>
            <w:tcW w:type="pct" w:w="100%"/>
            <w:shd w:fill="F1F5FA" w:val="clear"/>
            <w:tcMar>
              <w:top w:type="dxa" w:w="120"/>
              <w:left w:type="dxa" w:w="150"/>
              <w:bottom w:type="dxa" w:w="120"/>
              <w:right w:type="dxa" w:w="150"/>
            </w:tcMar>
          </w:tcPr>
          <w:p>
            <w:pPr>
              <w:spacing w:after="45" w:line="220" w:lineRule="atLeast"/>
            </w:pPr>
            <w:r>
              <w:rPr>
                <w:b/>
                <w:bCs/>
                <w:color w:val="102E4F"/>
                <w:sz w:val="22"/>
                <w:szCs w:val="22"/>
              </w:rPr>
              <w:t xml:space="preserve">Measured under agreed conditions</w:t>
            </w:r>
          </w:p>
          <w:p>
            <w:pPr>
              <w:spacing w:after="0" w:line="235" w:lineRule="atLeast"/>
            </w:pPr>
            <w:r>
              <w:rPr>
                <w:color w:val="243B5A"/>
                <w:sz w:val="18"/>
                <w:szCs w:val="18"/>
              </w:rPr>
              <w:t xml:space="preserve">The approved acceptance plan defines purity, flow, pressure, stabilization time, inlet-air quality, test duration, instruments, and witness requirements.</w:t>
            </w:r>
          </w:p>
        </w:tc>
      </w:tr>
    </w:tbl>
    <w:p>
      <w:r>
        <w:br w:type="page"/>
      </w:r>
    </w:p>
    <w:p>
      <w:pPr>
        <w:spacing w:after="45" w:line="200" w:lineRule="atLeast"/>
      </w:pPr>
      <w:r>
        <w:rPr>
          <w:b/>
          <w:bCs/>
          <w:color w:val="FF5A00"/>
          <w:sz w:val="16"/>
          <w:szCs w:val="16"/>
        </w:rPr>
        <w:t xml:space="preserve">10 · WORKING TOGETHER</w:t>
      </w:r>
    </w:p>
    <w:p>
      <w:pPr>
        <w:spacing w:after="65" w:line="470" w:lineRule="atLeast"/>
      </w:pPr>
      <w:r>
        <w:rPr>
          <w:b/>
          <w:bCs/>
          <w:color w:val="102E4F"/>
          <w:sz w:val="44"/>
          <w:szCs w:val="44"/>
        </w:rPr>
        <w:t xml:space="preserve">From first review to production</w:t>
      </w:r>
    </w:p>
    <w:p>
      <w:pPr>
        <w:spacing w:after="190" w:line="250" w:lineRule="atLeast"/>
      </w:pPr>
      <w:r>
        <w:rPr>
          <w:color w:val="64748B"/>
          <w:sz w:val="20"/>
          <w:szCs w:val="20"/>
        </w:rPr>
        <w:t xml:space="preserve">The project succeeds when equipment, site work, approvals, and acceptance are owned by name.</w:t>
      </w:r>
    </w:p>
    <w:p>
      <w:pPr>
        <w:spacing w:after="60" w:line="260" w:lineRule="atLeast"/>
      </w:pPr>
      <w:r>
        <w:rPr>
          <w:b/>
          <w:bCs/>
          <w:color w:val="102E4F"/>
          <w:sz w:val="22"/>
          <w:szCs w:val="22"/>
        </w:rPr>
        <w:t xml:space="preserve">DELIVERY PATH</w:t>
      </w:r>
    </w:p>
    <w:tbl>
      <w:tblPr>
        <w:tblW w:type="pct" w:w="100%"/>
        <w:tblBorders>
          <w:top w:val="single" w:color="FF5A00" w:sz="10"/>
          <w:left w:val="single" w:color="FF5A00" w:sz="10"/>
          <w:bottom w:val="single" w:color="FF5A00" w:sz="10"/>
          <w:right w:val="single" w:color="FF5A00" w:sz="10"/>
          <w:insideH w:val="single" w:color="auto" w:sz="4"/>
          <w:insideV w:val="single" w:color="auto" w:sz="4"/>
        </w:tblBorders>
      </w:tblPr>
      <w:tblGrid>
        <w:gridCol w:w="100"/>
      </w:tblGrid>
      <w:tr>
        <w:tc>
          <w:tcPr>
            <w:tcW w:type="pct" w:w="100%"/>
            <w:shd w:fill="FFF1E8" w:val="clear"/>
            <w:tcMar>
              <w:top w:type="dxa" w:w="120"/>
              <w:left w:type="dxa" w:w="150"/>
              <w:bottom w:type="dxa" w:w="120"/>
              <w:right w:type="dxa" w:w="150"/>
            </w:tcMar>
          </w:tcPr>
          <w:p>
            <w:pPr>
              <w:spacing w:after="45" w:line="220" w:lineRule="atLeast"/>
            </w:pPr>
            <w:r>
              <w:rPr>
                <w:b/>
                <w:bCs/>
                <w:color w:val="102E4F"/>
                <w:sz w:val="22"/>
                <w:szCs w:val="22"/>
              </w:rPr>
              <w:t xml:space="preserve">Week 0 — order confirmed</w:t>
            </w:r>
          </w:p>
          <w:p>
            <w:pPr>
              <w:spacing w:after="0" w:line="235" w:lineRule="atLeast"/>
            </w:pPr>
            <w:r>
              <w:rPr>
                <w:color w:val="243B5A"/>
                <w:sz w:val="18"/>
                <w:szCs w:val="18"/>
              </w:rPr>
              <w:t xml:space="preserve">Week 9 — ready for shipment</w:t>
            </w:r>
          </w:p>
        </w:tc>
      </w:tr>
    </w:tbl>
    <w:tbl>
      <w:tblPr>
        <w:tblW w:type="pct" w:w="100%"/>
        <w:tblBorders>
          <w:top w:val="none" w:sz="0"/>
          <w:left w:val="none" w:sz="0"/>
          <w:bottom w:val="none" w:sz="0"/>
          <w:right w:val="none" w:sz="0"/>
          <w:insideH w:val="none" w:sz="0"/>
          <w:insideV w:val="none" w:sz="0"/>
        </w:tblBorders>
        <w:tblLayout w:type="fixed"/>
      </w:tblPr>
      <w:tblGrid>
        <w:gridCol w:w="920"/>
        <w:gridCol w:w="9320"/>
      </w:tblGrid>
      <w:tr>
        <w:trPr>
          <w:cantSplit/>
        </w:trPr>
        <w:tc>
          <w:tcPr>
            <w:tcW w:type="pct" w:w="9%"/>
            <w:shd w:fill="FFFFFF" w:val="clear"/>
            <w:tcMar>
              <w:top w:type="dxa" w:w="80"/>
              <w:left w:type="dxa" w:w="100"/>
              <w:bottom w:type="dxa" w:w="80"/>
              <w:right w:type="dxa" w:w="100"/>
            </w:tcMar>
            <w:vAlign w:val="center"/>
          </w:tcPr>
          <w:p>
            <w:pPr>
              <w:spacing w:after="0"/>
            </w:pPr>
            <w:r>
              <w:rPr>
                <w:b/>
                <w:bCs/>
                <w:color w:val="FF5A00"/>
                <w:sz w:val="30"/>
                <w:szCs w:val="30"/>
              </w:rPr>
              <w:t xml:space="preserve">01</w:t>
            </w:r>
          </w:p>
        </w:tc>
        <w:tc>
          <w:tcPr>
            <w:tcW w:type="pct" w:w="91%"/>
            <w:shd w:fill="F1F5FA" w:val="clear"/>
            <w:tcMar>
              <w:top w:type="dxa" w:w="110"/>
              <w:left w:type="dxa" w:w="160"/>
              <w:bottom w:type="dxa" w:w="110"/>
              <w:right w:type="dxa" w:w="160"/>
            </w:tcMar>
          </w:tcPr>
          <w:p>
            <w:pPr>
              <w:spacing w:after="35" w:line="210" w:lineRule="atLeast"/>
            </w:pPr>
            <w:r>
              <w:rPr>
                <w:b/>
                <w:bCs/>
                <w:color w:val="102E4F"/>
                <w:sz w:val="19"/>
                <w:szCs w:val="19"/>
              </w:rPr>
              <w:t xml:space="preserve">Order confirmation · Order confirmed</w:t>
            </w:r>
          </w:p>
          <w:p>
            <w:pPr>
              <w:spacing w:after="0" w:line="190" w:lineRule="atLeast"/>
            </w:pPr>
            <w:r>
              <w:rPr>
                <w:color w:val="243B5A"/>
                <w:sz w:val="16"/>
                <w:szCs w:val="16"/>
              </w:rPr>
              <w:t xml:space="preserve">Agree the selected equipment package and project scope.
Equipment payment: $43,995</w:t>
            </w:r>
          </w:p>
        </w:tc>
      </w:tr>
    </w:tbl>
    <w:p>
      <w:pPr>
        <w:spacing w:after="20" w:line="50" w:lineRule="atLeast"/>
      </w:pPr>
      <w:r>
        <w:rPr>
          <w:color w:val="243B5A"/>
          <w:sz w:val="2"/>
          <w:szCs w:val="2"/>
        </w:rPr>
        <w:t xml:space="preserve"/>
      </w:r>
    </w:p>
    <w:tbl>
      <w:tblPr>
        <w:tblW w:type="pct" w:w="100%"/>
        <w:tblBorders>
          <w:top w:val="none" w:sz="0"/>
          <w:left w:val="none" w:sz="0"/>
          <w:bottom w:val="none" w:sz="0"/>
          <w:right w:val="none" w:sz="0"/>
          <w:insideH w:val="none" w:sz="0"/>
          <w:insideV w:val="none" w:sz="0"/>
        </w:tblBorders>
        <w:tblLayout w:type="fixed"/>
      </w:tblPr>
      <w:tblGrid>
        <w:gridCol w:w="920"/>
        <w:gridCol w:w="9320"/>
      </w:tblGrid>
      <w:tr>
        <w:trPr>
          <w:cantSplit/>
        </w:trPr>
        <w:tc>
          <w:tcPr>
            <w:tcW w:type="pct" w:w="9%"/>
            <w:shd w:fill="FFFFFF" w:val="clear"/>
            <w:tcMar>
              <w:top w:type="dxa" w:w="80"/>
              <w:left w:type="dxa" w:w="100"/>
              <w:bottom w:type="dxa" w:w="80"/>
              <w:right w:type="dxa" w:w="100"/>
            </w:tcMar>
            <w:vAlign w:val="center"/>
          </w:tcPr>
          <w:p>
            <w:pPr>
              <w:spacing w:after="0"/>
            </w:pPr>
            <w:r>
              <w:rPr>
                <w:b/>
                <w:bCs/>
                <w:color w:val="FF5A00"/>
                <w:sz w:val="30"/>
                <w:szCs w:val="30"/>
              </w:rPr>
              <w:t xml:space="preserve">02</w:t>
            </w:r>
          </w:p>
        </w:tc>
        <w:tc>
          <w:tcPr>
            <w:tcW w:type="pct" w:w="91%"/>
            <w:shd w:fill="F1F5FA" w:val="clear"/>
            <w:tcMar>
              <w:top w:type="dxa" w:w="110"/>
              <w:left w:type="dxa" w:w="160"/>
              <w:bottom w:type="dxa" w:w="110"/>
              <w:right w:type="dxa" w:w="160"/>
            </w:tcMar>
          </w:tcPr>
          <w:p>
            <w:pPr>
              <w:spacing w:after="35" w:line="210" w:lineRule="atLeast"/>
            </w:pPr>
            <w:r>
              <w:rPr>
                <w:b/>
                <w:bCs/>
                <w:color w:val="102E4F"/>
                <w:sz w:val="19"/>
                <w:szCs w:val="19"/>
              </w:rPr>
              <w:t xml:space="preserve">Project submittals · Before production</w:t>
            </w:r>
          </w:p>
          <w:p>
            <w:pPr>
              <w:spacing w:after="0" w:line="190" w:lineRule="atLeast"/>
            </w:pPr>
            <w:r>
              <w:rPr>
                <w:color w:val="243B5A"/>
                <w:sz w:val="16"/>
                <w:szCs w:val="16"/>
              </w:rPr>
              <w:t xml:space="preserve">Issue equipment data sheets, drawings and interfaces for review.</w:t>
            </w:r>
          </w:p>
        </w:tc>
      </w:tr>
    </w:tbl>
    <w:p>
      <w:pPr>
        <w:spacing w:after="20" w:line="50" w:lineRule="atLeast"/>
      </w:pPr>
      <w:r>
        <w:rPr>
          <w:color w:val="243B5A"/>
          <w:sz w:val="2"/>
          <w:szCs w:val="2"/>
        </w:rPr>
        <w:t xml:space="preserve"/>
      </w:r>
    </w:p>
    <w:tbl>
      <w:tblPr>
        <w:tblW w:type="pct" w:w="100%"/>
        <w:tblBorders>
          <w:top w:val="none" w:sz="0"/>
          <w:left w:val="none" w:sz="0"/>
          <w:bottom w:val="none" w:sz="0"/>
          <w:right w:val="none" w:sz="0"/>
          <w:insideH w:val="none" w:sz="0"/>
          <w:insideV w:val="none" w:sz="0"/>
        </w:tblBorders>
        <w:tblLayout w:type="fixed"/>
      </w:tblPr>
      <w:tblGrid>
        <w:gridCol w:w="920"/>
        <w:gridCol w:w="9320"/>
      </w:tblGrid>
      <w:tr>
        <w:trPr>
          <w:cantSplit/>
        </w:trPr>
        <w:tc>
          <w:tcPr>
            <w:tcW w:type="pct" w:w="9%"/>
            <w:shd w:fill="FFFFFF" w:val="clear"/>
            <w:tcMar>
              <w:top w:type="dxa" w:w="80"/>
              <w:left w:type="dxa" w:w="100"/>
              <w:bottom w:type="dxa" w:w="80"/>
              <w:right w:type="dxa" w:w="100"/>
            </w:tcMar>
            <w:vAlign w:val="center"/>
          </w:tcPr>
          <w:p>
            <w:pPr>
              <w:spacing w:after="0"/>
            </w:pPr>
            <w:r>
              <w:rPr>
                <w:b/>
                <w:bCs/>
                <w:color w:val="FF5A00"/>
                <w:sz w:val="30"/>
                <w:szCs w:val="30"/>
              </w:rPr>
              <w:t xml:space="preserve">03</w:t>
            </w:r>
          </w:p>
        </w:tc>
        <w:tc>
          <w:tcPr>
            <w:tcW w:type="pct" w:w="91%"/>
            <w:shd w:fill="F1F5FA" w:val="clear"/>
            <w:tcMar>
              <w:top w:type="dxa" w:w="110"/>
              <w:left w:type="dxa" w:w="160"/>
              <w:bottom w:type="dxa" w:w="110"/>
              <w:right w:type="dxa" w:w="160"/>
            </w:tcMar>
          </w:tcPr>
          <w:p>
            <w:pPr>
              <w:spacing w:after="35" w:line="210" w:lineRule="atLeast"/>
            </w:pPr>
            <w:r>
              <w:rPr>
                <w:b/>
                <w:bCs/>
                <w:color w:val="102E4F"/>
                <w:sz w:val="19"/>
                <w:szCs w:val="19"/>
              </w:rPr>
              <w:t xml:space="preserve">Build and factory verification · Before shipment</w:t>
            </w:r>
          </w:p>
          <w:p>
            <w:pPr>
              <w:spacing w:after="0" w:line="190" w:lineRule="atLeast"/>
            </w:pPr>
            <w:r>
              <w:rPr>
                <w:color w:val="243B5A"/>
                <w:sz w:val="16"/>
                <w:szCs w:val="16"/>
              </w:rPr>
              <w:t xml:space="preserve">Complete assembly and the agreed factory checks.
Equipment payment: $58,660</w:t>
            </w:r>
          </w:p>
        </w:tc>
      </w:tr>
    </w:tbl>
    <w:p>
      <w:pPr>
        <w:spacing w:after="20" w:line="50" w:lineRule="atLeast"/>
      </w:pPr>
      <w:r>
        <w:rPr>
          <w:color w:val="243B5A"/>
          <w:sz w:val="2"/>
          <w:szCs w:val="2"/>
        </w:rPr>
        <w:t xml:space="preserve"/>
      </w:r>
    </w:p>
    <w:tbl>
      <w:tblPr>
        <w:tblW w:type="pct" w:w="100%"/>
        <w:tblBorders>
          <w:top w:val="none" w:sz="0"/>
          <w:left w:val="none" w:sz="0"/>
          <w:bottom w:val="none" w:sz="0"/>
          <w:right w:val="none" w:sz="0"/>
          <w:insideH w:val="none" w:sz="0"/>
          <w:insideV w:val="none" w:sz="0"/>
        </w:tblBorders>
        <w:tblLayout w:type="fixed"/>
      </w:tblPr>
      <w:tblGrid>
        <w:gridCol w:w="920"/>
        <w:gridCol w:w="9320"/>
      </w:tblGrid>
      <w:tr>
        <w:trPr>
          <w:cantSplit/>
        </w:trPr>
        <w:tc>
          <w:tcPr>
            <w:tcW w:type="pct" w:w="9%"/>
            <w:shd w:fill="FFFFFF" w:val="clear"/>
            <w:tcMar>
              <w:top w:type="dxa" w:w="80"/>
              <w:left w:type="dxa" w:w="100"/>
              <w:bottom w:type="dxa" w:w="80"/>
              <w:right w:type="dxa" w:w="100"/>
            </w:tcMar>
            <w:vAlign w:val="center"/>
          </w:tcPr>
          <w:p>
            <w:pPr>
              <w:spacing w:after="0"/>
            </w:pPr>
            <w:r>
              <w:rPr>
                <w:b/>
                <w:bCs/>
                <w:color w:val="FF5A00"/>
                <w:sz w:val="30"/>
                <w:szCs w:val="30"/>
              </w:rPr>
              <w:t xml:space="preserve">04</w:t>
            </w:r>
          </w:p>
        </w:tc>
        <w:tc>
          <w:tcPr>
            <w:tcW w:type="pct" w:w="91%"/>
            <w:shd w:fill="F1F5FA" w:val="clear"/>
            <w:tcMar>
              <w:top w:type="dxa" w:w="110"/>
              <w:left w:type="dxa" w:w="160"/>
              <w:bottom w:type="dxa" w:w="110"/>
              <w:right w:type="dxa" w:w="160"/>
            </w:tcMar>
          </w:tcPr>
          <w:p>
            <w:pPr>
              <w:spacing w:after="35" w:line="210" w:lineRule="atLeast"/>
            </w:pPr>
            <w:r>
              <w:rPr>
                <w:b/>
                <w:bCs/>
                <w:color w:val="102E4F"/>
                <w:sz w:val="19"/>
                <w:szCs w:val="19"/>
              </w:rPr>
              <w:t xml:space="preserve">Shipment release · Week 9 · ready for shipment</w:t>
            </w:r>
          </w:p>
          <w:p>
            <w:pPr>
              <w:spacing w:after="0" w:line="190" w:lineRule="atLeast"/>
            </w:pPr>
            <w:r>
              <w:rPr>
                <w:color w:val="243B5A"/>
                <w:sz w:val="16"/>
                <w:szCs w:val="16"/>
              </w:rPr>
              <w:t xml:space="preserve">Complete shipment documentation and coordinate delivery.
Equipment payment: $43,995</w:t>
            </w:r>
          </w:p>
        </w:tc>
      </w:tr>
    </w:tbl>
    <w:p>
      <w:pPr>
        <w:spacing w:after="20" w:line="50" w:lineRule="atLeast"/>
      </w:pPr>
      <w:r>
        <w:rPr>
          <w:color w:val="243B5A"/>
          <w:sz w:val="2"/>
          <w:szCs w:val="2"/>
        </w:rPr>
        <w:t xml:space="preserve"/>
      </w:r>
    </w:p>
    <w:tbl>
      <w:tblPr>
        <w:tblW w:type="pct" w:w="100%"/>
        <w:tblBorders>
          <w:top w:val="none" w:sz="0"/>
          <w:left w:val="none" w:sz="0"/>
          <w:bottom w:val="none" w:sz="0"/>
          <w:right w:val="none" w:sz="0"/>
          <w:insideH w:val="none" w:sz="0"/>
          <w:insideV w:val="none" w:sz="0"/>
        </w:tblBorders>
        <w:tblLayout w:type="fixed"/>
      </w:tblPr>
      <w:tblGrid>
        <w:gridCol w:w="920"/>
        <w:gridCol w:w="9320"/>
      </w:tblGrid>
      <w:tr>
        <w:trPr>
          <w:cantSplit/>
        </w:trPr>
        <w:tc>
          <w:tcPr>
            <w:tcW w:type="pct" w:w="9%"/>
            <w:shd w:fill="FFFFFF" w:val="clear"/>
            <w:tcMar>
              <w:top w:type="dxa" w:w="80"/>
              <w:left w:type="dxa" w:w="100"/>
              <w:bottom w:type="dxa" w:w="80"/>
              <w:right w:type="dxa" w:w="100"/>
            </w:tcMar>
            <w:vAlign w:val="center"/>
          </w:tcPr>
          <w:p>
            <w:pPr>
              <w:spacing w:after="0"/>
            </w:pPr>
            <w:r>
              <w:rPr>
                <w:b/>
                <w:bCs/>
                <w:color w:val="FF5A00"/>
                <w:sz w:val="30"/>
                <w:szCs w:val="30"/>
              </w:rPr>
              <w:t xml:space="preserve">05</w:t>
            </w:r>
          </w:p>
        </w:tc>
        <w:tc>
          <w:tcPr>
            <w:tcW w:type="pct" w:w="91%"/>
            <w:shd w:fill="F1F5FA" w:val="clear"/>
            <w:tcMar>
              <w:top w:type="dxa" w:w="110"/>
              <w:left w:type="dxa" w:w="160"/>
              <w:bottom w:type="dxa" w:w="110"/>
              <w:right w:type="dxa" w:w="160"/>
            </w:tcMar>
          </w:tcPr>
          <w:p>
            <w:pPr>
              <w:spacing w:after="35" w:line="210" w:lineRule="atLeast"/>
            </w:pPr>
            <w:r>
              <w:rPr>
                <w:b/>
                <w:bCs/>
                <w:color w:val="102E4F"/>
                <w:sz w:val="19"/>
                <w:szCs w:val="19"/>
              </w:rPr>
              <w:t xml:space="preserve">Startup and handover · After installation</w:t>
            </w:r>
          </w:p>
          <w:p>
            <w:pPr>
              <w:spacing w:after="0" w:line="190" w:lineRule="atLeast"/>
            </w:pPr>
            <w:r>
              <w:rPr>
                <w:color w:val="243B5A"/>
                <w:sz w:val="16"/>
                <w:szCs w:val="16"/>
              </w:rPr>
              <w:t xml:space="preserve">Commissioning and operator orientation when selected.</w:t>
            </w:r>
          </w:p>
        </w:tc>
      </w:tr>
    </w:tbl>
    <w:p>
      <w:pPr>
        <w:spacing w:after="20" w:line="50" w:lineRule="atLeast"/>
      </w:pPr>
      <w:r>
        <w:rPr>
          <w:color w:val="243B5A"/>
          <w:sz w:val="2"/>
          <w:szCs w:val="2"/>
        </w:rPr>
        <w:t xml:space="preserve"/>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24"/>
        <w:gridCol w:w="38"/>
        <w:gridCol w:w="38"/>
      </w:tblGrid>
      <w:tr>
        <w:trPr>
          <w:cantSplit/>
        </w:trPr>
        <w:tc>
          <w:tcPr>
            <w:tcW w:type="pct" w:w="24%"/>
            <w:shd w:fill="102E4F" w:val="clear"/>
            <w:tcMar>
              <w:top w:type="dxa" w:w="80"/>
              <w:left w:type="dxa" w:w="100"/>
              <w:bottom w:type="dxa" w:w="80"/>
              <w:right w:type="dxa" w:w="100"/>
            </w:tcMar>
            <w:vAlign w:val="center"/>
          </w:tcPr>
          <w:p>
            <w:pPr>
              <w:spacing w:after="0"/>
            </w:pPr>
            <w:r>
              <w:rPr>
                <w:b/>
                <w:bCs/>
                <w:color w:val="FFFFFF"/>
                <w:sz w:val="18"/>
                <w:szCs w:val="18"/>
              </w:rPr>
              <w:t xml:space="preserve">Workstream</w:t>
            </w:r>
          </w:p>
        </w:tc>
        <w:tc>
          <w:tcPr>
            <w:tcW w:type="pct" w:w="38%"/>
            <w:shd w:fill="102E4F" w:val="clear"/>
            <w:tcMar>
              <w:top w:type="dxa" w:w="80"/>
              <w:left w:type="dxa" w:w="100"/>
              <w:bottom w:type="dxa" w:w="80"/>
              <w:right w:type="dxa" w:w="100"/>
            </w:tcMar>
            <w:vAlign w:val="center"/>
          </w:tcPr>
          <w:p>
            <w:pPr>
              <w:spacing w:after="0"/>
            </w:pPr>
            <w:r>
              <w:rPr>
                <w:b/>
                <w:bCs/>
                <w:color w:val="FFFFFF"/>
                <w:sz w:val="18"/>
                <w:szCs w:val="18"/>
              </w:rPr>
              <w:t xml:space="preserve">Safe Equip</w:t>
            </w:r>
          </w:p>
        </w:tc>
        <w:tc>
          <w:tcPr>
            <w:tcW w:type="pct" w:w="38%"/>
            <w:shd w:fill="102E4F" w:val="clear"/>
            <w:tcMar>
              <w:top w:type="dxa" w:w="80"/>
              <w:left w:type="dxa" w:w="100"/>
              <w:bottom w:type="dxa" w:w="80"/>
              <w:right w:type="dxa" w:w="100"/>
            </w:tcMar>
            <w:vAlign w:val="center"/>
          </w:tcPr>
          <w:p>
            <w:pPr>
              <w:spacing w:after="0"/>
            </w:pPr>
            <w:r>
              <w:rPr>
                <w:b/>
                <w:bCs/>
                <w:color w:val="FFFFFF"/>
                <w:sz w:val="18"/>
                <w:szCs w:val="18"/>
              </w:rPr>
              <w:t xml:space="preserve">Customer / others</w:t>
            </w:r>
          </w:p>
        </w:tc>
      </w:tr>
      <w:tr>
        <w:trPr>
          <w:cantSplit/>
        </w:trPr>
        <w:tc>
          <w:tcPr>
            <w:tcW w:type="pct" w:w="24%"/>
            <w:shd w:fill="FFFFFF" w:val="clear"/>
            <w:tcMar>
              <w:top w:type="dxa" w:w="80"/>
              <w:left w:type="dxa" w:w="100"/>
              <w:bottom w:type="dxa" w:w="80"/>
              <w:right w:type="dxa" w:w="100"/>
            </w:tcMar>
            <w:vAlign w:val="center"/>
          </w:tcPr>
          <w:p>
            <w:pPr>
              <w:spacing w:after="0"/>
            </w:pPr>
            <w:r>
              <w:rPr>
                <w:b/>
                <w:bCs/>
                <w:color w:val="102E4F"/>
                <w:sz w:val="18"/>
                <w:szCs w:val="18"/>
              </w:rPr>
              <w:t xml:space="preserve">Design basis</w:t>
            </w:r>
          </w:p>
        </w:tc>
        <w:tc>
          <w:tcPr>
            <w:tcW w:type="pct" w:w="38%"/>
            <w:shd w:fill="FFFFFF" w:val="clear"/>
            <w:tcMar>
              <w:top w:type="dxa" w:w="80"/>
              <w:left w:type="dxa" w:w="100"/>
              <w:bottom w:type="dxa" w:w="80"/>
              <w:right w:type="dxa" w:w="100"/>
            </w:tcMar>
            <w:vAlign w:val="center"/>
          </w:tcPr>
          <w:p>
            <w:pPr>
              <w:spacing w:after="0"/>
            </w:pPr>
            <w:r>
              <w:rPr>
                <w:color w:val="243B5A"/>
                <w:sz w:val="18"/>
                <w:szCs w:val="18"/>
              </w:rPr>
              <w:t xml:space="preserve">Prepare the equipment selection and project submittal.</w:t>
            </w:r>
          </w:p>
        </w:tc>
        <w:tc>
          <w:tcPr>
            <w:tcW w:type="pct" w:w="38%"/>
            <w:shd w:fill="FFFFFF" w:val="clear"/>
            <w:tcMar>
              <w:top w:type="dxa" w:w="80"/>
              <w:left w:type="dxa" w:w="100"/>
              <w:bottom w:type="dxa" w:w="80"/>
              <w:right w:type="dxa" w:w="100"/>
            </w:tcMar>
            <w:vAlign w:val="center"/>
          </w:tcPr>
          <w:p>
            <w:pPr>
              <w:spacing w:after="0"/>
            </w:pPr>
            <w:r>
              <w:rPr>
                <w:color w:val="243B5A"/>
                <w:sz w:val="18"/>
                <w:szCs w:val="18"/>
              </w:rPr>
              <w:t xml:space="preserve">Confirm duty, utilities, site conditions, and interfaces.</w:t>
            </w:r>
          </w:p>
        </w:tc>
      </w:tr>
      <w:tr>
        <w:trPr>
          <w:cantSplit/>
        </w:trPr>
        <w:tc>
          <w:tcPr>
            <w:tcW w:type="pct" w:w="24%"/>
            <w:shd w:fill="F1F5FA" w:val="clear"/>
            <w:tcMar>
              <w:top w:type="dxa" w:w="80"/>
              <w:left w:type="dxa" w:w="100"/>
              <w:bottom w:type="dxa" w:w="80"/>
              <w:right w:type="dxa" w:w="100"/>
            </w:tcMar>
            <w:vAlign w:val="center"/>
          </w:tcPr>
          <w:p>
            <w:pPr>
              <w:spacing w:after="0"/>
            </w:pPr>
            <w:r>
              <w:rPr>
                <w:b/>
                <w:bCs/>
                <w:color w:val="102E4F"/>
                <w:sz w:val="18"/>
                <w:szCs w:val="18"/>
              </w:rPr>
              <w:t xml:space="preserve">Site readiness</w:t>
            </w:r>
          </w:p>
        </w:tc>
        <w:tc>
          <w:tcPr>
            <w:tcW w:type="pct" w:w="38%"/>
            <w:shd w:fill="F1F5FA" w:val="clear"/>
            <w:tcMar>
              <w:top w:type="dxa" w:w="80"/>
              <w:left w:type="dxa" w:w="100"/>
              <w:bottom w:type="dxa" w:w="80"/>
              <w:right w:type="dxa" w:w="100"/>
            </w:tcMar>
            <w:vAlign w:val="center"/>
          </w:tcPr>
          <w:p>
            <w:pPr>
              <w:spacing w:after="0"/>
            </w:pPr>
            <w:r>
              <w:rPr>
                <w:color w:val="243B5A"/>
                <w:sz w:val="18"/>
                <w:szCs w:val="18"/>
              </w:rPr>
              <w:t xml:space="preserve">Provide equipment interface information after order.</w:t>
            </w:r>
          </w:p>
        </w:tc>
        <w:tc>
          <w:tcPr>
            <w:tcW w:type="pct" w:w="38%"/>
            <w:shd w:fill="F1F5FA" w:val="clear"/>
            <w:tcMar>
              <w:top w:type="dxa" w:w="80"/>
              <w:left w:type="dxa" w:w="100"/>
              <w:bottom w:type="dxa" w:w="80"/>
              <w:right w:type="dxa" w:w="100"/>
            </w:tcMar>
            <w:vAlign w:val="center"/>
          </w:tcPr>
          <w:p>
            <w:pPr>
              <w:spacing w:after="0"/>
            </w:pPr>
            <w:r>
              <w:rPr>
                <w:color w:val="243B5A"/>
                <w:sz w:val="18"/>
                <w:szCs w:val="18"/>
              </w:rPr>
              <w:t xml:space="preserve">Prepare foundations, utilities, piping, access, and permits.</w:t>
            </w:r>
          </w:p>
        </w:tc>
      </w:tr>
      <w:tr>
        <w:trPr>
          <w:cantSplit/>
        </w:trPr>
        <w:tc>
          <w:tcPr>
            <w:tcW w:type="pct" w:w="24%"/>
            <w:shd w:fill="FFFFFF" w:val="clear"/>
            <w:tcMar>
              <w:top w:type="dxa" w:w="80"/>
              <w:left w:type="dxa" w:w="100"/>
              <w:bottom w:type="dxa" w:w="80"/>
              <w:right w:type="dxa" w:w="100"/>
            </w:tcMar>
            <w:vAlign w:val="center"/>
          </w:tcPr>
          <w:p>
            <w:pPr>
              <w:spacing w:after="0"/>
            </w:pPr>
            <w:r>
              <w:rPr>
                <w:b/>
                <w:bCs/>
                <w:color w:val="102E4F"/>
                <w:sz w:val="18"/>
                <w:szCs w:val="18"/>
              </w:rPr>
              <w:t xml:space="preserve">Startup support</w:t>
            </w:r>
          </w:p>
        </w:tc>
        <w:tc>
          <w:tcPr>
            <w:tcW w:type="pct" w:w="38%"/>
            <w:shd w:fill="FFFFFF" w:val="clear"/>
            <w:tcMar>
              <w:top w:type="dxa" w:w="80"/>
              <w:left w:type="dxa" w:w="100"/>
              <w:bottom w:type="dxa" w:w="80"/>
              <w:right w:type="dxa" w:w="100"/>
            </w:tcMar>
            <w:vAlign w:val="center"/>
          </w:tcPr>
          <w:p>
            <w:pPr>
              <w:spacing w:after="0"/>
            </w:pPr>
            <w:r>
              <w:rPr>
                <w:color w:val="243B5A"/>
                <w:sz w:val="18"/>
                <w:szCs w:val="18"/>
              </w:rPr>
              <w:t xml:space="preserve">Provide supervision and operator orientation when selected.</w:t>
            </w:r>
          </w:p>
        </w:tc>
        <w:tc>
          <w:tcPr>
            <w:tcW w:type="pct" w:w="38%"/>
            <w:shd w:fill="FFFFFF" w:val="clear"/>
            <w:tcMar>
              <w:top w:type="dxa" w:w="80"/>
              <w:left w:type="dxa" w:w="100"/>
              <w:bottom w:type="dxa" w:w="80"/>
              <w:right w:type="dxa" w:w="100"/>
            </w:tcMar>
            <w:vAlign w:val="center"/>
          </w:tcPr>
          <w:p>
            <w:pPr>
              <w:spacing w:after="0"/>
            </w:pPr>
            <w:r>
              <w:rPr>
                <w:color w:val="243B5A"/>
                <w:sz w:val="18"/>
                <w:szCs w:val="18"/>
              </w:rPr>
              <w:t xml:space="preserve">Provide safe access, utilities, operators, and site support.</w:t>
            </w:r>
          </w:p>
        </w:tc>
      </w:tr>
    </w:tbl>
    <w:p>
      <w:pPr>
        <w:spacing w:after="60" w:line="260" w:lineRule="atLeast"/>
      </w:pPr>
      <w:r>
        <w:rPr>
          <w:b/>
          <w:bCs/>
          <w:color w:val="102E4F"/>
          <w:sz w:val="22"/>
          <w:szCs w:val="22"/>
        </w:rPr>
        <w:t xml:space="preserve">SELECTED PROJECT SERVICES</w:t>
      </w:r>
    </w:p>
    <w:p>
      <w:pPr>
        <w:pStyle w:val="ListParagraph"/>
        <w:numPr>
          <w:ilvl w:val="0"/>
          <w:numId w:val="1"/>
        </w:numPr>
        <w:spacing w:after="80"/>
      </w:pPr>
      <w:r>
        <w:rPr>
          <w:color w:val="243B5A"/>
          <w:sz w:val="20"/>
          <w:szCs w:val="20"/>
        </w:rPr>
        <w:t xml:space="preserve">Delivery and installation supervision / commissioning are optional unless expressly included in the line-item schedule.</w:t>
      </w:r>
    </w:p>
    <w:p>
      <w:r>
        <w:br w:type="page"/>
      </w:r>
    </w:p>
    <w:p>
      <w:pPr>
        <w:spacing w:after="45" w:line="200" w:lineRule="atLeast"/>
      </w:pPr>
      <w:r>
        <w:rPr>
          <w:b/>
          <w:bCs/>
          <w:color w:val="FF5A00"/>
          <w:sz w:val="16"/>
          <w:szCs w:val="16"/>
        </w:rPr>
        <w:t xml:space="preserve">11 · SUPPORT AND REFERENCES</w:t>
      </w:r>
    </w:p>
    <w:p>
      <w:pPr>
        <w:spacing w:after="65" w:line="470" w:lineRule="atLeast"/>
      </w:pPr>
      <w:r>
        <w:rPr>
          <w:b/>
          <w:bCs/>
          <w:color w:val="102E4F"/>
          <w:sz w:val="44"/>
          <w:szCs w:val="44"/>
        </w:rPr>
        <w:t xml:space="preserve">Support beyond delivery</w:t>
      </w:r>
    </w:p>
    <w:p>
      <w:pPr>
        <w:spacing w:after="190" w:line="250" w:lineRule="atLeast"/>
      </w:pPr>
      <w:r>
        <w:rPr>
          <w:color w:val="64748B"/>
          <w:sz w:val="20"/>
          <w:szCs w:val="20"/>
        </w:rPr>
        <w:t xml:space="preserve">Documentation, service boundaries, and spares are defined instead of being implied.</w:t>
      </w:r>
    </w:p>
    <w:p>
      <w:pPr>
        <w:spacing w:after="70" w:line="260" w:lineRule="atLeast"/>
      </w:pPr>
      <w:r>
        <w:rPr>
          <w:b/>
          <w:bCs/>
          <w:color w:val="102E4F"/>
          <w:sz w:val="22"/>
          <w:szCs w:val="22"/>
        </w:rPr>
        <w:t xml:space="preserve">DOCUMENT REGISTER</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72"/>
        <w:gridCol w:w="28"/>
      </w:tblGrid>
      <w:tr>
        <w:trPr>
          <w:cantSplit/>
        </w:trPr>
        <w:tc>
          <w:tcPr>
            <w:tcW w:type="pct" w:w="72%"/>
            <w:shd w:fill="102E4F" w:val="clear"/>
            <w:tcMar>
              <w:top w:type="dxa" w:w="80"/>
              <w:left w:type="dxa" w:w="100"/>
              <w:bottom w:type="dxa" w:w="80"/>
              <w:right w:type="dxa" w:w="100"/>
            </w:tcMar>
            <w:vAlign w:val="center"/>
          </w:tcPr>
          <w:p>
            <w:pPr>
              <w:spacing w:after="0"/>
            </w:pPr>
            <w:r>
              <w:rPr>
                <w:b/>
                <w:bCs/>
                <w:color w:val="FFFFFF"/>
                <w:sz w:val="18"/>
                <w:szCs w:val="18"/>
              </w:rPr>
              <w:t xml:space="preserve">Document</w:t>
            </w:r>
          </w:p>
        </w:tc>
        <w:tc>
          <w:tcPr>
            <w:tcW w:type="pct" w:w="28%"/>
            <w:shd w:fill="102E4F" w:val="clear"/>
            <w:tcMar>
              <w:top w:type="dxa" w:w="80"/>
              <w:left w:type="dxa" w:w="100"/>
              <w:bottom w:type="dxa" w:w="80"/>
              <w:right w:type="dxa" w:w="100"/>
            </w:tcMar>
            <w:vAlign w:val="center"/>
          </w:tcPr>
          <w:p>
            <w:pPr>
              <w:spacing w:after="0"/>
            </w:pPr>
            <w:r>
              <w:rPr>
                <w:b/>
                <w:bCs/>
                <w:color w:val="FFFFFF"/>
                <w:sz w:val="18"/>
                <w:szCs w:val="18"/>
              </w:rPr>
              <w:t xml:space="preserve">Status</w:t>
            </w:r>
          </w:p>
        </w:tc>
      </w:tr>
      <w:tr>
        <w:trPr>
          <w:cantSplit/>
        </w:trPr>
        <w:tc>
          <w:tcPr>
            <w:tcW w:type="pct" w:w="72%"/>
            <w:shd w:fill="FFFFFF" w:val="clear"/>
            <w:tcMar>
              <w:top w:type="dxa" w:w="80"/>
              <w:left w:type="dxa" w:w="100"/>
              <w:bottom w:type="dxa" w:w="80"/>
              <w:right w:type="dxa" w:w="100"/>
            </w:tcMar>
            <w:vAlign w:val="center"/>
          </w:tcPr>
          <w:p>
            <w:pPr>
              <w:spacing w:after="0"/>
            </w:pPr>
            <w:r>
              <w:rPr>
                <w:b/>
                <w:bCs/>
                <w:color w:val="102E4F"/>
                <w:sz w:val="18"/>
                <w:szCs w:val="18"/>
              </w:rPr>
              <w:t xml:space="preserve">Approved equipment data sheets</w:t>
            </w:r>
          </w:p>
        </w:tc>
        <w:tc>
          <w:tcPr>
            <w:tcW w:type="pct" w:w="28%"/>
            <w:shd w:fill="FFFFFF" w:val="clear"/>
            <w:tcMar>
              <w:top w:type="dxa" w:w="80"/>
              <w:left w:type="dxa" w:w="100"/>
              <w:bottom w:type="dxa" w:w="80"/>
              <w:right w:type="dxa" w:w="100"/>
            </w:tcMar>
            <w:vAlign w:val="center"/>
          </w:tcPr>
          <w:p>
            <w:pPr>
              <w:spacing w:after="0"/>
            </w:pPr>
            <w:r>
              <w:rPr>
                <w:b/>
                <w:bCs/>
                <w:color w:val="FF5A00"/>
                <w:sz w:val="18"/>
                <w:szCs w:val="18"/>
              </w:rPr>
              <w:t xml:space="preserve">Included after order</w:t>
            </w:r>
          </w:p>
        </w:tc>
      </w:tr>
      <w:tr>
        <w:trPr>
          <w:cantSplit/>
        </w:trPr>
        <w:tc>
          <w:tcPr>
            <w:tcW w:type="pct" w:w="72%"/>
            <w:shd w:fill="F1F5FA" w:val="clear"/>
            <w:tcMar>
              <w:top w:type="dxa" w:w="80"/>
              <w:left w:type="dxa" w:w="100"/>
              <w:bottom w:type="dxa" w:w="80"/>
              <w:right w:type="dxa" w:w="100"/>
            </w:tcMar>
            <w:vAlign w:val="center"/>
          </w:tcPr>
          <w:p>
            <w:pPr>
              <w:spacing w:after="0"/>
            </w:pPr>
            <w:r>
              <w:rPr>
                <w:b/>
                <w:bCs/>
                <w:color w:val="102E4F"/>
                <w:sz w:val="18"/>
                <w:szCs w:val="18"/>
              </w:rPr>
              <w:t xml:space="preserve">General arrangement and connection information</w:t>
            </w:r>
          </w:p>
        </w:tc>
        <w:tc>
          <w:tcPr>
            <w:tcW w:type="pct" w:w="28%"/>
            <w:shd w:fill="F1F5FA" w:val="clear"/>
            <w:tcMar>
              <w:top w:type="dxa" w:w="80"/>
              <w:left w:type="dxa" w:w="100"/>
              <w:bottom w:type="dxa" w:w="80"/>
              <w:right w:type="dxa" w:w="100"/>
            </w:tcMar>
            <w:vAlign w:val="center"/>
          </w:tcPr>
          <w:p>
            <w:pPr>
              <w:spacing w:after="0"/>
            </w:pPr>
            <w:r>
              <w:rPr>
                <w:b/>
                <w:bCs/>
                <w:color w:val="FF5A00"/>
                <w:sz w:val="18"/>
                <w:szCs w:val="18"/>
              </w:rPr>
              <w:t xml:space="preserve">Included after order</w:t>
            </w:r>
          </w:p>
        </w:tc>
      </w:tr>
      <w:tr>
        <w:trPr>
          <w:cantSplit/>
        </w:trPr>
        <w:tc>
          <w:tcPr>
            <w:tcW w:type="pct" w:w="72%"/>
            <w:shd w:fill="FFFFFF" w:val="clear"/>
            <w:tcMar>
              <w:top w:type="dxa" w:w="80"/>
              <w:left w:type="dxa" w:w="100"/>
              <w:bottom w:type="dxa" w:w="80"/>
              <w:right w:type="dxa" w:w="100"/>
            </w:tcMar>
            <w:vAlign w:val="center"/>
          </w:tcPr>
          <w:p>
            <w:pPr>
              <w:spacing w:after="0"/>
            </w:pPr>
            <w:r>
              <w:rPr>
                <w:b/>
                <w:bCs/>
                <w:color w:val="102E4F"/>
                <w:sz w:val="18"/>
                <w:szCs w:val="18"/>
              </w:rPr>
              <w:t xml:space="preserve">Operation and maintenance manuals</w:t>
            </w:r>
          </w:p>
        </w:tc>
        <w:tc>
          <w:tcPr>
            <w:tcW w:type="pct" w:w="28%"/>
            <w:shd w:fill="FFFFFF" w:val="clear"/>
            <w:tcMar>
              <w:top w:type="dxa" w:w="80"/>
              <w:left w:type="dxa" w:w="100"/>
              <w:bottom w:type="dxa" w:w="80"/>
              <w:right w:type="dxa" w:w="100"/>
            </w:tcMar>
            <w:vAlign w:val="center"/>
          </w:tcPr>
          <w:p>
            <w:pPr>
              <w:spacing w:after="0"/>
            </w:pPr>
            <w:r>
              <w:rPr>
                <w:b/>
                <w:bCs/>
                <w:color w:val="FF5A00"/>
                <w:sz w:val="18"/>
                <w:szCs w:val="18"/>
              </w:rPr>
              <w:t xml:space="preserve">Included after order</w:t>
            </w:r>
          </w:p>
        </w:tc>
      </w:tr>
      <w:tr>
        <w:trPr>
          <w:cantSplit/>
        </w:trPr>
        <w:tc>
          <w:tcPr>
            <w:tcW w:type="pct" w:w="72%"/>
            <w:shd w:fill="F1F5FA" w:val="clear"/>
            <w:tcMar>
              <w:top w:type="dxa" w:w="80"/>
              <w:left w:type="dxa" w:w="100"/>
              <w:bottom w:type="dxa" w:w="80"/>
              <w:right w:type="dxa" w:w="100"/>
            </w:tcMar>
            <w:vAlign w:val="center"/>
          </w:tcPr>
          <w:p>
            <w:pPr>
              <w:spacing w:after="0"/>
            </w:pPr>
            <w:r>
              <w:rPr>
                <w:b/>
                <w:bCs/>
                <w:color w:val="102E4F"/>
                <w:sz w:val="18"/>
                <w:szCs w:val="18"/>
              </w:rPr>
              <w:t xml:space="preserve">Project-specific test record</w:t>
            </w:r>
          </w:p>
        </w:tc>
        <w:tc>
          <w:tcPr>
            <w:tcW w:type="pct" w:w="28%"/>
            <w:shd w:fill="F1F5FA" w:val="clear"/>
            <w:tcMar>
              <w:top w:type="dxa" w:w="80"/>
              <w:left w:type="dxa" w:w="100"/>
              <w:bottom w:type="dxa" w:w="80"/>
              <w:right w:type="dxa" w:w="100"/>
            </w:tcMar>
            <w:vAlign w:val="center"/>
          </w:tcPr>
          <w:p>
            <w:pPr>
              <w:spacing w:after="0"/>
            </w:pPr>
            <w:r>
              <w:rPr>
                <w:b/>
                <w:bCs/>
                <w:color w:val="FF5A00"/>
                <w:sz w:val="18"/>
                <w:szCs w:val="18"/>
              </w:rPr>
              <w:t xml:space="preserve">Defined in the agreed acceptance plan</w:t>
            </w:r>
          </w:p>
        </w:tc>
      </w:tr>
    </w:tbl>
    <w:p>
      <w:pPr>
        <w:spacing w:after="70" w:line="260" w:lineRule="atLeast"/>
      </w:pPr>
      <w:r>
        <w:rPr>
          <w:b/>
          <w:bCs/>
          <w:color w:val="102E4F"/>
          <w:sz w:val="22"/>
          <w:szCs w:val="22"/>
        </w:rPr>
        <w:t xml:space="preserve">SUPPORT OPTIONS</w:t>
      </w:r>
    </w:p>
    <w:p>
      <w:pPr>
        <w:spacing w:after="20" w:line="260" w:lineRule="atLeast"/>
      </w:pPr>
      <w:r>
        <w:rPr>
          <w:b/>
          <w:bCs/>
          <w:color w:val="102E4F"/>
          <w:sz w:val="19"/>
          <w:szCs w:val="19"/>
        </w:rPr>
        <w:t xml:space="preserve">Preventive-maintenance plan · Optional</w:t>
      </w:r>
    </w:p>
    <w:p>
      <w:pPr>
        <w:spacing w:after="55" w:line="220" w:lineRule="atLeast"/>
      </w:pPr>
      <w:r>
        <w:rPr>
          <w:color w:val="64748B"/>
          <w:sz w:val="17"/>
          <w:szCs w:val="17"/>
        </w:rPr>
        <w:t xml:space="preserve">Recommended service intervals and consumables can be supplied for the approved package.</w:t>
      </w:r>
    </w:p>
    <w:p>
      <w:pPr>
        <w:spacing w:after="20" w:line="260" w:lineRule="atLeast"/>
      </w:pPr>
      <w:r>
        <w:rPr>
          <w:b/>
          <w:bCs/>
          <w:color w:val="102E4F"/>
          <w:sz w:val="19"/>
          <w:szCs w:val="19"/>
        </w:rPr>
        <w:t xml:space="preserve">Recommended spare parts · Optional</w:t>
      </w:r>
    </w:p>
    <w:p>
      <w:pPr>
        <w:spacing w:after="55" w:line="220" w:lineRule="atLeast"/>
      </w:pPr>
      <w:r>
        <w:rPr>
          <w:color w:val="64748B"/>
          <w:sz w:val="17"/>
          <w:szCs w:val="17"/>
        </w:rPr>
        <w:t xml:space="preserve">A project-specific startup and operating-spares package can be added.</w:t>
      </w:r>
    </w:p>
    <w:p>
      <w:pPr>
        <w:spacing w:after="20" w:line="260" w:lineRule="atLeast"/>
      </w:pPr>
      <w:r>
        <w:rPr>
          <w:b/>
          <w:bCs/>
          <w:color w:val="102E4F"/>
          <w:sz w:val="19"/>
          <w:szCs w:val="19"/>
        </w:rPr>
        <w:t xml:space="preserve">Operator orientation · Optional</w:t>
      </w:r>
    </w:p>
    <w:p>
      <w:pPr>
        <w:spacing w:after="55" w:line="220" w:lineRule="atLeast"/>
      </w:pPr>
      <w:r>
        <w:rPr>
          <w:color w:val="64748B"/>
          <w:sz w:val="17"/>
          <w:szCs w:val="17"/>
        </w:rPr>
        <w:t xml:space="preserve">Operating and routine-care training can be included with startup support.</w:t>
      </w:r>
    </w:p>
    <w:p>
      <w:r>
        <w:br w:type="page"/>
      </w:r>
    </w:p>
    <w:p>
      <w:pPr>
        <w:spacing w:after="45" w:line="200" w:lineRule="atLeast"/>
      </w:pPr>
      <w:r>
        <w:rPr>
          <w:b/>
          <w:bCs/>
          <w:color w:val="FF5A00"/>
          <w:sz w:val="16"/>
          <w:szCs w:val="16"/>
        </w:rPr>
        <w:t xml:space="preserve">11B · EVIDENCE</w:t>
      </w:r>
    </w:p>
    <w:p>
      <w:pPr>
        <w:spacing w:after="65" w:line="470" w:lineRule="atLeast"/>
      </w:pPr>
      <w:r>
        <w:rPr>
          <w:b/>
          <w:bCs/>
          <w:color w:val="102E4F"/>
          <w:sz w:val="44"/>
          <w:szCs w:val="44"/>
        </w:rPr>
        <w:t xml:space="preserve">Visible equipment. Verifiable references.</w:t>
      </w:r>
    </w:p>
    <w:p>
      <w:pPr>
        <w:spacing w:after="190" w:line="250" w:lineRule="atLeast"/>
      </w:pPr>
      <w:r>
        <w:rPr>
          <w:color w:val="64748B"/>
          <w:sz w:val="20"/>
          <w:szCs w:val="20"/>
        </w:rPr>
        <w:t xml:space="preserve">No unverified savings or uptime claims are used in this proposal.</w:t>
      </w:r>
    </w:p>
    <w:p>
      <w:pPr>
        <w:spacing w:after="140" w:line="270" w:lineRule="atLeast"/>
      </w:pPr>
      <w:r>
        <w:rPr>
          <w:color w:val="243B5A"/>
          <w:sz w:val="21"/>
          <w:szCs w:val="21"/>
        </w:rPr>
        <w:t xml:space="preserve">Safe Equip develops nitrogen generation packages around verified performance data, application requirements, and a clearly documented equipment train. Engineering and commercial coordination are managed from Clearwater, Florida, with system assembly and factory verification performed under the approved project specification.</w:t>
      </w:r>
    </w:p>
    <w:p>
      <w:pPr>
        <w:spacing w:after="65" w:line="260" w:lineRule="atLeast"/>
      </w:pPr>
      <w:r>
        <w:rPr>
          <w:b/>
          <w:bCs/>
          <w:color w:val="102E4F"/>
          <w:sz w:val="22"/>
          <w:szCs w:val="22"/>
        </w:rPr>
        <w:t xml:space="preserve">APPROVED REFERENCE SYSTEMS</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35"/>
        <w:gridCol w:w="65"/>
      </w:tblGrid>
      <w:tr>
        <w:trPr>
          <w:cantSplit/>
        </w:trPr>
        <w:tc>
          <w:tcPr>
            <w:tcW w:type="pct" w:w="35%"/>
            <w:shd w:fill="FFF1E8" w:val="clear"/>
            <w:tcMar>
              <w:top w:type="dxa" w:w="80"/>
              <w:left w:type="dxa" w:w="100"/>
              <w:bottom w:type="dxa" w:w="80"/>
              <w:right w:type="dxa" w:w="100"/>
            </w:tcMar>
            <w:vAlign w:val="center"/>
          </w:tcPr>
          <w:p>
            <w:pPr>
              <w:spacing w:after="0"/>
            </w:pPr>
            <w:r>
              <w:rPr>
                <w:b/>
                <w:bCs/>
                <w:color w:val="102E4F"/>
                <w:sz w:val="18"/>
                <w:szCs w:val="18"/>
              </w:rPr>
              <w:t xml:space="preserve">Genista</w:t>
            </w:r>
          </w:p>
        </w:tc>
        <w:tc>
          <w:tcPr>
            <w:tcW w:type="pct" w:w="65%"/>
            <w:shd w:fill="F1F5FA" w:val="clear"/>
            <w:tcMar>
              <w:top w:type="dxa" w:w="80"/>
              <w:left w:type="dxa" w:w="100"/>
              <w:bottom w:type="dxa" w:w="80"/>
              <w:right w:type="dxa" w:w="100"/>
            </w:tcMar>
            <w:vAlign w:val="center"/>
          </w:tcPr>
          <w:p>
            <w:pPr>
              <w:spacing w:after="0"/>
            </w:pPr>
            <w:r>
              <w:rPr>
                <w:color w:val="243B5A"/>
                <w:sz w:val="18"/>
                <w:szCs w:val="18"/>
              </w:rPr>
              <w:t xml:space="preserve">Laboratory and industrial use · 19 SCFM</w:t>
            </w:r>
          </w:p>
        </w:tc>
      </w:tr>
    </w:tbl>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35"/>
        <w:gridCol w:w="65"/>
      </w:tblGrid>
      <w:tr>
        <w:trPr>
          <w:cantSplit/>
        </w:trPr>
        <w:tc>
          <w:tcPr>
            <w:tcW w:type="pct" w:w="35%"/>
            <w:shd w:fill="FFF1E8" w:val="clear"/>
            <w:tcMar>
              <w:top w:type="dxa" w:w="80"/>
              <w:left w:type="dxa" w:w="100"/>
              <w:bottom w:type="dxa" w:w="80"/>
              <w:right w:type="dxa" w:w="100"/>
            </w:tcMar>
            <w:vAlign w:val="center"/>
          </w:tcPr>
          <w:p>
            <w:pPr>
              <w:spacing w:after="0"/>
            </w:pPr>
            <w:r>
              <w:rPr>
                <w:b/>
                <w:bCs/>
                <w:color w:val="102E4F"/>
                <w:sz w:val="18"/>
                <w:szCs w:val="18"/>
              </w:rPr>
              <w:t xml:space="preserve">MacroCap Labs</w:t>
            </w:r>
          </w:p>
        </w:tc>
        <w:tc>
          <w:tcPr>
            <w:tcW w:type="pct" w:w="65%"/>
            <w:shd w:fill="F1F5FA" w:val="clear"/>
            <w:tcMar>
              <w:top w:type="dxa" w:w="80"/>
              <w:left w:type="dxa" w:w="100"/>
              <w:bottom w:type="dxa" w:w="80"/>
              <w:right w:type="dxa" w:w="100"/>
            </w:tcMar>
            <w:vAlign w:val="center"/>
          </w:tcPr>
          <w:p>
            <w:pPr>
              <w:spacing w:after="0"/>
            </w:pPr>
            <w:r>
              <w:rPr>
                <w:color w:val="243B5A"/>
                <w:sz w:val="18"/>
                <w:szCs w:val="18"/>
              </w:rPr>
              <w:t xml:space="preserve">Controlled-atmosphere production · 155 SCFM</w:t>
            </w:r>
          </w:p>
        </w:tc>
      </w:tr>
    </w:tbl>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35"/>
        <w:gridCol w:w="65"/>
      </w:tblGrid>
      <w:tr>
        <w:trPr>
          <w:cantSplit/>
        </w:trPr>
        <w:tc>
          <w:tcPr>
            <w:tcW w:type="pct" w:w="35%"/>
            <w:shd w:fill="FFF1E8" w:val="clear"/>
            <w:tcMar>
              <w:top w:type="dxa" w:w="80"/>
              <w:left w:type="dxa" w:w="100"/>
              <w:bottom w:type="dxa" w:w="80"/>
              <w:right w:type="dxa" w:w="100"/>
            </w:tcMar>
            <w:vAlign w:val="center"/>
          </w:tcPr>
          <w:p>
            <w:pPr>
              <w:spacing w:after="0"/>
            </w:pPr>
            <w:r>
              <w:rPr>
                <w:b/>
                <w:bCs/>
                <w:color w:val="102E4F"/>
                <w:sz w:val="18"/>
                <w:szCs w:val="18"/>
              </w:rPr>
              <w:t xml:space="preserve">Beta Diagnostic Labs</w:t>
            </w:r>
          </w:p>
        </w:tc>
        <w:tc>
          <w:tcPr>
            <w:tcW w:type="pct" w:w="65%"/>
            <w:shd w:fill="F1F5FA" w:val="clear"/>
            <w:tcMar>
              <w:top w:type="dxa" w:w="80"/>
              <w:left w:type="dxa" w:w="100"/>
              <w:bottom w:type="dxa" w:w="80"/>
              <w:right w:type="dxa" w:w="100"/>
            </w:tcMar>
            <w:vAlign w:val="center"/>
          </w:tcPr>
          <w:p>
            <w:pPr>
              <w:spacing w:after="0"/>
            </w:pPr>
            <w:r>
              <w:rPr>
                <w:color w:val="243B5A"/>
                <w:sz w:val="18"/>
                <w:szCs w:val="18"/>
              </w:rPr>
              <w:t xml:space="preserve">Laboratory nitrogen supply</w:t>
            </w:r>
          </w:p>
        </w:tc>
      </w:tr>
    </w:tbl>
    <w:p>
      <w:pPr>
        <w:spacing w:after="65" w:before="150"/>
      </w:pPr>
      <w:r>
        <w:drawing>
          <wp:inline distT="0" distB="0" distL="0" distR="0">
            <wp:extent cx="200025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00250" cy="2667000"/>
                    </a:xfrm>
                    <a:prstGeom prst="rect">
                      <a:avLst/>
                    </a:prstGeom>
                  </pic:spPr>
                </pic:pic>
              </a:graphicData>
            </a:graphic>
          </wp:inline>
        </w:drawing>
      </w:r>
      <w:r>
        <w:drawing>
          <wp:inline distT="0" distB="0" distL="0" distR="0">
            <wp:extent cx="200025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000250" cy="2667000"/>
                    </a:xfrm>
                    <a:prstGeom prst="rect">
                      <a:avLst/>
                    </a:prstGeom>
                  </pic:spPr>
                </pic:pic>
              </a:graphicData>
            </a:graphic>
          </wp:inline>
        </w:drawing>
      </w:r>
    </w:p>
    <w:p>
      <w:pPr>
        <w:spacing w:after="100" w:line="260" w:lineRule="atLeast"/>
      </w:pPr>
      <w:r>
        <w:rPr>
          <w:color w:val="64748B"/>
          <w:sz w:val="16"/>
          <w:szCs w:val="16"/>
        </w:rPr>
        <w:t xml:space="preserve">Safe Equip PSA equipment during factory assembly</w:t>
      </w:r>
    </w:p>
    <w:p>
      <w:r>
        <w:br w:type="page"/>
      </w:r>
    </w:p>
    <w:p>
      <w:pPr>
        <w:spacing w:after="45" w:line="200" w:lineRule="atLeast"/>
      </w:pPr>
      <w:r>
        <w:rPr>
          <w:b/>
          <w:bCs/>
          <w:color w:val="FF5A00"/>
          <w:sz w:val="16"/>
          <w:szCs w:val="16"/>
        </w:rPr>
        <w:t xml:space="preserve">12 · OPERATING COST</w:t>
      </w:r>
    </w:p>
    <w:p>
      <w:pPr>
        <w:spacing w:after="65" w:line="470" w:lineRule="atLeast"/>
      </w:pPr>
      <w:r>
        <w:rPr>
          <w:b/>
          <w:bCs/>
          <w:color w:val="102E4F"/>
          <w:sz w:val="44"/>
          <w:szCs w:val="44"/>
        </w:rPr>
        <w:t xml:space="preserve">Your operating cost, made clear</w:t>
      </w:r>
    </w:p>
    <w:p>
      <w:pPr>
        <w:spacing w:after="190" w:line="250" w:lineRule="atLeast"/>
      </w:pPr>
      <w:r>
        <w:rPr>
          <w:color w:val="64748B"/>
          <w:sz w:val="20"/>
          <w:szCs w:val="20"/>
        </w:rPr>
        <w:t xml:space="preserve">A customer-specific comparison after the operating inputs are confirmed.</w:t>
      </w:r>
    </w:p>
    <w:p>
      <w:pPr>
        <w:spacing w:after="60" w:line="260" w:lineRule="atLeast"/>
      </w:pPr>
      <w:r>
        <w:rPr>
          <w:b/>
          <w:bCs/>
          <w:color w:val="102E4F"/>
          <w:sz w:val="22"/>
          <w:szCs w:val="22"/>
        </w:rPr>
        <w:t xml:space="preserve">Customer-specific operating-cost review</w:t>
      </w:r>
    </w:p>
    <w:p>
      <w:pPr>
        <w:spacing w:after="140" w:line="270" w:lineRule="atLeast"/>
      </w:pPr>
      <w:r>
        <w:rPr>
          <w:color w:val="243B5A"/>
          <w:sz w:val="21"/>
          <w:szCs w:val="21"/>
        </w:rPr>
        <w:t xml:space="preserve">Safe Equip can compare onsite nitrogen generation with the customer’s delivered-gas baseline after the operating and utility inputs are confirmed.</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50"/>
        <w:gridCol w:w="50"/>
      </w:tblGrid>
      <w:tr>
        <w:trPr>
          <w:cantSplit/>
        </w:trPr>
        <w:tc>
          <w:tcPr>
            <w:tcW w:type="pct" w:w="50%"/>
            <w:shd w:fill="102E4F" w:val="clear"/>
            <w:tcMar>
              <w:top w:type="dxa" w:w="80"/>
              <w:left w:type="dxa" w:w="100"/>
              <w:bottom w:type="dxa" w:w="80"/>
              <w:right w:type="dxa" w:w="100"/>
            </w:tcMar>
            <w:vAlign w:val="center"/>
          </w:tcPr>
          <w:p>
            <w:pPr>
              <w:spacing w:after="0"/>
            </w:pPr>
            <w:r>
              <w:rPr>
                <w:b/>
                <w:bCs/>
                <w:color w:val="FFFFFF"/>
                <w:sz w:val="18"/>
                <w:szCs w:val="18"/>
              </w:rPr>
              <w:t xml:space="preserve">Inputs required</w:t>
            </w:r>
          </w:p>
        </w:tc>
        <w:tc>
          <w:tcPr>
            <w:tcW w:type="pct" w:w="50%"/>
            <w:shd w:fill="102E4F" w:val="clear"/>
            <w:tcMar>
              <w:top w:type="dxa" w:w="80"/>
              <w:left w:type="dxa" w:w="100"/>
              <w:bottom w:type="dxa" w:w="80"/>
              <w:right w:type="dxa" w:w="100"/>
            </w:tcMar>
            <w:vAlign w:val="center"/>
          </w:tcPr>
          <w:p>
            <w:pPr>
              <w:spacing w:after="0"/>
            </w:pPr>
            <w:r>
              <w:rPr>
                <w:b/>
                <w:bCs/>
                <w:color w:val="FFFFFF"/>
                <w:sz w:val="18"/>
                <w:szCs w:val="18"/>
              </w:rPr>
              <w:t xml:space="preserve">Review deliverables</w:t>
            </w:r>
          </w:p>
        </w:tc>
      </w:tr>
      <w:tr>
        <w:trPr>
          <w:cantSplit/>
        </w:trPr>
        <w:tc>
          <w:tcPr>
            <w:tcW w:type="pct" w:w="50%"/>
            <w:shd w:fill="FFFFFF" w:val="clear"/>
            <w:tcMar>
              <w:top w:type="dxa" w:w="80"/>
              <w:left w:type="dxa" w:w="100"/>
              <w:bottom w:type="dxa" w:w="80"/>
              <w:right w:type="dxa" w:w="100"/>
            </w:tcMar>
            <w:vAlign w:val="center"/>
          </w:tcPr>
          <w:p>
            <w:pPr>
              <w:spacing w:after="30"/>
            </w:pPr>
            <w:r>
              <w:rPr>
                <w:color w:val="243B5A"/>
                <w:sz w:val="16"/>
                <w:szCs w:val="16"/>
              </w:rPr>
              <w:t xml:space="preserve">Electricity rate</w:t>
            </w:r>
          </w:p>
          <w:p>
            <w:pPr>
              <w:spacing w:after="30"/>
            </w:pPr>
            <w:r>
              <w:rPr>
                <w:color w:val="243B5A"/>
                <w:sz w:val="16"/>
                <w:szCs w:val="16"/>
              </w:rPr>
              <w:t xml:space="preserve">Annual operating hours</w:t>
            </w:r>
          </w:p>
          <w:p>
            <w:pPr>
              <w:spacing w:after="30"/>
            </w:pPr>
            <w:r>
              <w:rPr>
                <w:color w:val="243B5A"/>
                <w:sz w:val="16"/>
                <w:szCs w:val="16"/>
              </w:rPr>
              <w:t xml:space="preserve">Delivered-gas price and fees</w:t>
            </w:r>
          </w:p>
          <w:p>
            <w:pPr>
              <w:spacing w:after="0"/>
            </w:pPr>
            <w:r>
              <w:rPr>
                <w:color w:val="243B5A"/>
                <w:sz w:val="16"/>
                <w:szCs w:val="16"/>
              </w:rPr>
              <w:t xml:space="preserve">Peak and average nitrogen demand</w:t>
            </w:r>
          </w:p>
        </w:tc>
        <w:tc>
          <w:tcPr>
            <w:tcW w:type="pct" w:w="50%"/>
            <w:shd w:fill="FFFFFF" w:val="clear"/>
            <w:tcMar>
              <w:top w:type="dxa" w:w="80"/>
              <w:left w:type="dxa" w:w="100"/>
              <w:bottom w:type="dxa" w:w="80"/>
              <w:right w:type="dxa" w:w="100"/>
            </w:tcMar>
            <w:vAlign w:val="center"/>
          </w:tcPr>
          <w:p>
            <w:pPr>
              <w:spacing w:after="30"/>
            </w:pPr>
            <w:r>
              <w:rPr>
                <w:color w:val="243B5A"/>
                <w:sz w:val="16"/>
                <w:szCs w:val="16"/>
              </w:rPr>
              <w:t xml:space="preserve">Estimated annual electricity use</w:t>
            </w:r>
          </w:p>
          <w:p>
            <w:pPr>
              <w:spacing w:after="30"/>
            </w:pPr>
            <w:r>
              <w:rPr>
                <w:color w:val="243B5A"/>
                <w:sz w:val="16"/>
                <w:szCs w:val="16"/>
              </w:rPr>
              <w:t xml:space="preserve">Onsite-generation cost basis</w:t>
            </w:r>
          </w:p>
          <w:p>
            <w:pPr>
              <w:spacing w:after="30"/>
            </w:pPr>
            <w:r>
              <w:rPr>
                <w:color w:val="243B5A"/>
                <w:sz w:val="16"/>
                <w:szCs w:val="16"/>
              </w:rPr>
              <w:t xml:space="preserve">Delivered-gas comparison</w:t>
            </w:r>
          </w:p>
          <w:p>
            <w:pPr>
              <w:spacing w:after="0"/>
            </w:pPr>
            <w:r>
              <w:rPr>
                <w:color w:val="243B5A"/>
                <w:sz w:val="16"/>
                <w:szCs w:val="16"/>
              </w:rPr>
              <w:t xml:space="preserve">Simple payback range after inputs are confirmed</w:t>
            </w:r>
          </w:p>
        </w:tc>
      </w:tr>
    </w:tbl>
    <w:p>
      <w:pPr>
        <w:spacing w:after="0" w:line="260" w:lineRule="atLeast"/>
      </w:pPr>
      <w:r>
        <w:rPr>
          <w:b/>
          <w:bCs/>
          <w:color w:val="FF5A00"/>
          <w:sz w:val="17"/>
          <w:szCs w:val="17"/>
        </w:rPr>
        <w:t xml:space="preserve">Status · Optional · prepared after customer inputs are confirmed</w:t>
      </w:r>
    </w:p>
    <w:p>
      <w:r>
        <w:br w:type="page"/>
      </w:r>
    </w:p>
    <w:p>
      <w:pPr>
        <w:spacing w:after="45" w:line="200" w:lineRule="atLeast"/>
      </w:pPr>
      <w:r>
        <w:rPr>
          <w:b/>
          <w:bCs/>
          <w:color w:val="FF5A00"/>
          <w:sz w:val="16"/>
          <w:szCs w:val="16"/>
        </w:rPr>
        <w:t xml:space="preserve">12B · YOUR MODEL — QUESTIONS ANSWERED</w:t>
      </w:r>
    </w:p>
    <w:p>
      <w:pPr>
        <w:spacing w:after="65" w:line="470" w:lineRule="atLeast"/>
      </w:pPr>
      <w:r>
        <w:rPr>
          <w:b/>
          <w:bCs/>
          <w:color w:val="102E4F"/>
          <w:sz w:val="44"/>
          <w:szCs w:val="44"/>
        </w:rPr>
        <w:t xml:space="preserve">Useful details, ready for your team</w:t>
      </w:r>
    </w:p>
    <w:p>
      <w:pPr>
        <w:spacing w:after="190" w:line="250" w:lineRule="atLeast"/>
      </w:pPr>
      <w:r>
        <w:rPr>
          <w:color w:val="64748B"/>
          <w:sz w:val="20"/>
          <w:szCs w:val="20"/>
        </w:rPr>
        <w:t xml:space="preserve">Specifications for the selected generator.</w:t>
      </w:r>
    </w:p>
    <w:p>
      <w:pPr>
        <w:spacing w:after="70" w:line="260" w:lineRule="atLeast"/>
      </w:pPr>
      <w:r>
        <w:rPr>
          <w:b/>
          <w:bCs/>
          <w:color w:val="102E4F"/>
          <w:sz w:val="23"/>
          <w:szCs w:val="23"/>
        </w:rPr>
        <w:t xml:space="preserve">When is the equipment ready to ship?</w:t>
      </w:r>
    </w:p>
    <w:p>
      <w:pPr>
        <w:spacing w:after="140" w:line="270" w:lineRule="atLeast"/>
      </w:pPr>
      <w:r>
        <w:rPr>
          <w:color w:val="243B5A"/>
          <w:sz w:val="21"/>
          <w:szCs w:val="21"/>
        </w:rPr>
        <w:t xml:space="preserve">Ready for shipment: 9 weeks from order. 60 days ex-works.</w:t>
      </w:r>
    </w:p>
    <w:p>
      <w:pPr>
        <w:spacing w:after="70" w:line="260" w:lineRule="atLeast"/>
      </w:pPr>
      <w:r>
        <w:rPr>
          <w:b/>
          <w:bCs/>
          <w:color w:val="102E4F"/>
          <w:sz w:val="23"/>
          <w:szCs w:val="23"/>
        </w:rPr>
        <w:t xml:space="preserve">What are the generator connections?</w:t>
      </w:r>
    </w:p>
    <w:p>
      <w:pPr>
        <w:spacing w:after="140" w:line="270" w:lineRule="atLeast"/>
      </w:pPr>
      <w:r>
        <w:rPr>
          <w:color w:val="243B5A"/>
          <w:sz w:val="21"/>
          <w:szCs w:val="21"/>
        </w:rPr>
        <w:t xml:space="preserve">Air in G2" · N2 out G1½"</w:t>
      </w:r>
    </w:p>
    <w:p>
      <w:pPr>
        <w:spacing w:after="70" w:line="260" w:lineRule="atLeast"/>
      </w:pPr>
      <w:r>
        <w:rPr>
          <w:b/>
          <w:bCs/>
          <w:color w:val="102E4F"/>
          <w:sz w:val="23"/>
          <w:szCs w:val="23"/>
        </w:rPr>
        <w:t xml:space="preserve">What is the nitrogen dew point?</w:t>
      </w:r>
    </w:p>
    <w:p>
      <w:pPr>
        <w:spacing w:after="140" w:line="270" w:lineRule="atLeast"/>
      </w:pPr>
      <w:r>
        <w:rPr>
          <w:color w:val="243B5A"/>
          <w:sz w:val="21"/>
          <w:szCs w:val="21"/>
        </w:rPr>
        <w:t xml:space="preserve">-60°F</w:t>
      </w:r>
    </w:p>
    <w:p>
      <w:pPr>
        <w:spacing w:after="70" w:line="260" w:lineRule="atLeast"/>
      </w:pPr>
      <w:r>
        <w:rPr>
          <w:b/>
          <w:bCs/>
          <w:color w:val="102E4F"/>
          <w:sz w:val="23"/>
          <w:szCs w:val="23"/>
        </w:rPr>
        <w:t xml:space="preserve">What ambient temperature range applies?</w:t>
      </w:r>
    </w:p>
    <w:p>
      <w:pPr>
        <w:spacing w:after="140" w:line="270" w:lineRule="atLeast"/>
      </w:pPr>
      <w:r>
        <w:rPr>
          <w:color w:val="243B5A"/>
          <w:sz w:val="21"/>
          <w:szCs w:val="21"/>
        </w:rPr>
        <w:t xml:space="preserve">40°F to 95°F</w:t>
      </w:r>
    </w:p>
    <w:p>
      <w:pPr>
        <w:spacing w:after="70" w:line="260" w:lineRule="atLeast"/>
      </w:pPr>
      <w:r>
        <w:rPr>
          <w:b/>
          <w:bCs/>
          <w:color w:val="102E4F"/>
          <w:sz w:val="23"/>
          <w:szCs w:val="23"/>
        </w:rPr>
        <w:t xml:space="preserve">What is the generator connected load?</w:t>
      </w:r>
    </w:p>
    <w:p>
      <w:pPr>
        <w:spacing w:after="140" w:line="270" w:lineRule="atLeast"/>
      </w:pPr>
      <w:r>
        <w:rPr>
          <w:color w:val="243B5A"/>
          <w:sz w:val="21"/>
          <w:szCs w:val="21"/>
        </w:rPr>
        <w:t xml:space="preserve">0.2 kW</w:t>
      </w:r>
    </w:p>
    <w:p>
      <w:r>
        <w:br w:type="page"/>
      </w:r>
    </w:p>
    <w:p>
      <w:pPr>
        <w:spacing w:after="45" w:line="200" w:lineRule="atLeast"/>
      </w:pPr>
      <w:r>
        <w:rPr>
          <w:b/>
          <w:bCs/>
          <w:color w:val="FF5A00"/>
          <w:sz w:val="16"/>
          <w:szCs w:val="16"/>
        </w:rPr>
        <w:t xml:space="preserve">13 · INVESTMENT AND TERMS</w:t>
      </w:r>
    </w:p>
    <w:p>
      <w:pPr>
        <w:spacing w:after="65" w:line="470" w:lineRule="atLeast"/>
      </w:pPr>
      <w:r>
        <w:rPr>
          <w:b/>
          <w:bCs/>
          <w:color w:val="102E4F"/>
          <w:sz w:val="44"/>
          <w:szCs w:val="44"/>
        </w:rPr>
        <w:t xml:space="preserve">Everything in your package</w:t>
      </w:r>
    </w:p>
    <w:p>
      <w:pPr>
        <w:spacing w:after="100" w:line="250" w:lineRule="atLeast"/>
      </w:pPr>
      <w:r>
        <w:rPr>
          <w:color w:val="64748B"/>
          <w:sz w:val="20"/>
          <w:szCs w:val="20"/>
        </w:rPr>
        <w:t xml:space="preserve">The formal order-ready proposal is issued after the Design Confirmation Review.</w:t>
      </w:r>
    </w:p>
    <w:tbl>
      <w:tblPr>
        <w:tblW w:type="pct" w:w="100%"/>
        <w:tblBorders>
          <w:top w:val="single" w:color="CAD7E8" w:sz="8"/>
          <w:left w:val="none" w:sz="0"/>
          <w:bottom w:val="single" w:color="CAD7E8" w:sz="8"/>
          <w:right w:val="none" w:sz="0"/>
          <w:insideH w:val="single" w:color="CAD7E8" w:sz="8"/>
          <w:insideV w:val="none" w:sz="0"/>
        </w:tblBorders>
      </w:tblPr>
      <w:tblGrid>
        <w:gridCol w:w="12"/>
        <w:gridCol w:w="56"/>
        <w:gridCol w:w="10"/>
        <w:gridCol w:w="22"/>
      </w:tblGrid>
      <w:tr>
        <w:trPr>
          <w:tblHeader/>
        </w:trPr>
        <w:tc>
          <w:tcPr>
            <w:tcW w:type="pct" w:w="12%"/>
            <w:shd w:fill="102E4F" w:val="clear"/>
            <w:tcMar>
              <w:top w:type="dxa" w:w="80"/>
              <w:left w:type="dxa" w:w="100"/>
              <w:bottom w:type="dxa" w:w="80"/>
              <w:right w:type="dxa" w:w="100"/>
            </w:tcMar>
            <w:vAlign w:val="center"/>
          </w:tcPr>
          <w:p>
            <w:pPr>
              <w:spacing w:after="0"/>
            </w:pPr>
            <w:r>
              <w:rPr>
                <w:b/>
                <w:bCs/>
                <w:color w:val="FFFFFF"/>
                <w:sz w:val="18"/>
                <w:szCs w:val="18"/>
              </w:rPr>
              <w:t xml:space="preserve"/>
            </w:r>
          </w:p>
        </w:tc>
        <w:tc>
          <w:tcPr>
            <w:tcW w:type="pct" w:w="56%"/>
            <w:shd w:fill="102E4F" w:val="clear"/>
            <w:tcMar>
              <w:top w:type="dxa" w:w="80"/>
              <w:left w:type="dxa" w:w="100"/>
              <w:bottom w:type="dxa" w:w="80"/>
              <w:right w:type="dxa" w:w="100"/>
            </w:tcMar>
            <w:vAlign w:val="center"/>
          </w:tcPr>
          <w:p>
            <w:pPr>
              <w:spacing w:after="0"/>
            </w:pPr>
            <w:r>
              <w:rPr>
                <w:b/>
                <w:bCs/>
                <w:color w:val="FFFFFF"/>
                <w:sz w:val="18"/>
                <w:szCs w:val="18"/>
              </w:rPr>
              <w:t xml:space="preserve">Commercial scope</w:t>
            </w:r>
          </w:p>
        </w:tc>
        <w:tc>
          <w:tcPr>
            <w:tcW w:type="pct" w:w="10%"/>
            <w:shd w:fill="102E4F" w:val="clear"/>
            <w:tcMar>
              <w:top w:type="dxa" w:w="80"/>
              <w:left w:type="dxa" w:w="100"/>
              <w:bottom w:type="dxa" w:w="80"/>
              <w:right w:type="dxa" w:w="100"/>
            </w:tcMar>
            <w:vAlign w:val="center"/>
          </w:tcPr>
          <w:p>
            <w:pPr>
              <w:spacing w:after="0"/>
            </w:pPr>
            <w:r>
              <w:rPr>
                <w:b/>
                <w:bCs/>
                <w:color w:val="FFFFFF"/>
                <w:sz w:val="18"/>
                <w:szCs w:val="18"/>
              </w:rPr>
              <w:t xml:space="preserve">Qty</w:t>
            </w:r>
          </w:p>
        </w:tc>
        <w:tc>
          <w:tcPr>
            <w:tcW w:type="pct" w:w="22%"/>
            <w:shd w:fill="102E4F" w:val="clear"/>
            <w:tcMar>
              <w:top w:type="dxa" w:w="80"/>
              <w:left w:type="dxa" w:w="100"/>
              <w:bottom w:type="dxa" w:w="80"/>
              <w:right w:type="dxa" w:w="100"/>
            </w:tcMar>
            <w:vAlign w:val="center"/>
          </w:tcPr>
          <w:p>
            <w:pPr>
              <w:spacing w:after="0"/>
            </w:pPr>
            <w:r>
              <w:rPr>
                <w:b/>
                <w:bCs/>
                <w:color w:val="FFFFFF"/>
                <w:sz w:val="18"/>
                <w:szCs w:val="18"/>
              </w:rPr>
              <w:t xml:space="preserve">Line total</w:t>
            </w:r>
          </w:p>
        </w:tc>
      </w:tr>
      <w:tr>
        <w:tc>
          <w:tcPr>
            <w:tcW w:type="pct" w:w="12%"/>
            <w:tcMar>
              <w:top w:type="dxa" w:w="55"/>
              <w:left w:type="dxa" w:w="45"/>
              <w:bottom w:type="dxa" w:w="55"/>
              <w:right w:type="dxa" w:w="45"/>
            </w:tcMar>
            <w:vAlign w:val="center"/>
          </w:tcPr>
          <w:p>
            <w:pPr>
              <w:jc w:val="center"/>
            </w:pPr>
            <w:r>
              <w:drawing>
                <wp:inline distT="0" distB="0" distL="0" distR="0">
                  <wp:extent cx="449943"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49943" cy="304800"/>
                          </a:xfrm>
                          <a:prstGeom prst="rect">
                            <a:avLst/>
                          </a:prstGeom>
                        </pic:spPr>
                      </pic:pic>
                    </a:graphicData>
                  </a:graphic>
                </wp:inline>
              </w:drawing>
            </w:r>
          </w:p>
        </w:tc>
        <w:tc>
          <w:tcPr>
            <w:tcW w:type="pct" w:w="56%"/>
            <w:tcMar>
              <w:top w:type="dxa" w:w="42"/>
              <w:left w:type="dxa" w:w="75"/>
              <w:bottom w:type="dxa" w:w="42"/>
              <w:right w:type="dxa" w:w="75"/>
            </w:tcMar>
            <w:vAlign w:val="center"/>
          </w:tcPr>
          <w:p>
            <w:pPr>
              <w:spacing w:after="12" w:line="190" w:lineRule="atLeast"/>
            </w:pPr>
            <w:r>
              <w:rPr>
                <w:b/>
                <w:bCs/>
                <w:color w:val="102E4F"/>
                <w:sz w:val="15"/>
                <w:szCs w:val="15"/>
              </w:rPr>
              <w:t xml:space="preserve">Air compressor</w:t>
            </w:r>
          </w:p>
          <w:p>
            <w:pPr>
              <w:spacing w:after="0" w:line="175" w:lineRule="atLeast"/>
            </w:pPr>
            <w:r>
              <w:rPr>
                <w:color w:val="64748B"/>
                <w:sz w:val="12"/>
                <w:szCs w:val="12"/>
              </w:rPr>
              <w:t xml:space="preserve">KRSD-100</w:t>
            </w:r>
          </w:p>
        </w:tc>
        <w:tc>
          <w:tcPr>
            <w:tcW w:type="pct" w:w="10%"/>
            <w:shd w:fill="FFFFFF" w:val="clear"/>
            <w:tcMar>
              <w:top w:type="dxa" w:w="80"/>
              <w:left w:type="dxa" w:w="100"/>
              <w:bottom w:type="dxa" w:w="80"/>
              <w:right w:type="dxa" w:w="100"/>
            </w:tcMar>
            <w:vAlign w:val="center"/>
          </w:tcPr>
          <w:p>
            <w:pPr>
              <w:spacing w:after="0"/>
              <w:jc w:val="center"/>
            </w:pPr>
            <w:r>
              <w:rPr>
                <w:color w:val="243B5A"/>
                <w:sz w:val="18"/>
                <w:szCs w:val="18"/>
              </w:rPr>
              <w:t xml:space="preserve">1</w:t>
            </w:r>
          </w:p>
        </w:tc>
        <w:tc>
          <w:tcPr>
            <w:tcW w:type="pct" w:w="22%"/>
            <w:shd w:fill="FFFFFF" w:val="clear"/>
            <w:tcMar>
              <w:top w:type="dxa" w:w="80"/>
              <w:left w:type="dxa" w:w="100"/>
              <w:bottom w:type="dxa" w:w="80"/>
              <w:right w:type="dxa" w:w="100"/>
            </w:tcMar>
            <w:vAlign w:val="center"/>
          </w:tcPr>
          <w:p>
            <w:pPr>
              <w:spacing w:after="0"/>
              <w:jc w:val="right"/>
            </w:pPr>
            <w:r>
              <w:rPr>
                <w:b/>
                <w:bCs/>
                <w:color w:val="102E4F"/>
                <w:sz w:val="18"/>
                <w:szCs w:val="18"/>
              </w:rPr>
              <w:t xml:space="preserve">$36,800</w:t>
            </w:r>
          </w:p>
        </w:tc>
      </w:tr>
      <w:tr>
        <w:tc>
          <w:tcPr>
            <w:tcW w:type="pct" w:w="12%"/>
            <w:tcMar>
              <w:top w:type="dxa" w:w="55"/>
              <w:left w:type="dxa" w:w="45"/>
              <w:bottom w:type="dxa" w:w="55"/>
              <w:right w:type="dxa" w:w="45"/>
            </w:tcMar>
            <w:vAlign w:val="center"/>
          </w:tcPr>
          <w:p>
            <w:pPr>
              <w:jc w:val="center"/>
            </w:pPr>
            <w:r>
              <w:drawing>
                <wp:inline distT="0" distB="0" distL="0" distR="0">
                  <wp:extent cx="261257"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61257" cy="304800"/>
                          </a:xfrm>
                          <a:prstGeom prst="rect">
                            <a:avLst/>
                          </a:prstGeom>
                        </pic:spPr>
                      </pic:pic>
                    </a:graphicData>
                  </a:graphic>
                </wp:inline>
              </w:drawing>
            </w:r>
          </w:p>
        </w:tc>
        <w:tc>
          <w:tcPr>
            <w:tcW w:type="pct" w:w="56%"/>
            <w:tcMar>
              <w:top w:type="dxa" w:w="42"/>
              <w:left w:type="dxa" w:w="75"/>
              <w:bottom w:type="dxa" w:w="42"/>
              <w:right w:type="dxa" w:w="75"/>
            </w:tcMar>
            <w:vAlign w:val="center"/>
          </w:tcPr>
          <w:p>
            <w:pPr>
              <w:spacing w:after="12" w:line="190" w:lineRule="atLeast"/>
            </w:pPr>
            <w:r>
              <w:rPr>
                <w:b/>
                <w:bCs/>
                <w:color w:val="102E4F"/>
                <w:sz w:val="15"/>
                <w:szCs w:val="15"/>
              </w:rPr>
              <w:t xml:space="preserve">Air dryer</w:t>
            </w:r>
          </w:p>
          <w:p>
            <w:pPr>
              <w:spacing w:after="0" w:line="175" w:lineRule="atLeast"/>
            </w:pPr>
            <w:r>
              <w:rPr>
                <w:color w:val="64748B"/>
                <w:sz w:val="12"/>
                <w:szCs w:val="12"/>
              </w:rPr>
              <w:t xml:space="preserve">Safe Equip Refrigerated Air Dryer 500 CFM</w:t>
            </w:r>
          </w:p>
        </w:tc>
        <w:tc>
          <w:tcPr>
            <w:tcW w:type="pct" w:w="10%"/>
            <w:shd w:fill="FFFFFF" w:val="clear"/>
            <w:tcMar>
              <w:top w:type="dxa" w:w="80"/>
              <w:left w:type="dxa" w:w="100"/>
              <w:bottom w:type="dxa" w:w="80"/>
              <w:right w:type="dxa" w:w="100"/>
            </w:tcMar>
            <w:vAlign w:val="center"/>
          </w:tcPr>
          <w:p>
            <w:pPr>
              <w:spacing w:after="0"/>
              <w:jc w:val="center"/>
            </w:pPr>
            <w:r>
              <w:rPr>
                <w:color w:val="243B5A"/>
                <w:sz w:val="18"/>
                <w:szCs w:val="18"/>
              </w:rPr>
              <w:t xml:space="preserve">1</w:t>
            </w:r>
          </w:p>
        </w:tc>
        <w:tc>
          <w:tcPr>
            <w:tcW w:type="pct" w:w="22%"/>
            <w:shd w:fill="FFFFFF" w:val="clear"/>
            <w:tcMar>
              <w:top w:type="dxa" w:w="80"/>
              <w:left w:type="dxa" w:w="100"/>
              <w:bottom w:type="dxa" w:w="80"/>
              <w:right w:type="dxa" w:w="100"/>
            </w:tcMar>
            <w:vAlign w:val="center"/>
          </w:tcPr>
          <w:p>
            <w:pPr>
              <w:spacing w:after="0"/>
              <w:jc w:val="right"/>
            </w:pPr>
            <w:r>
              <w:rPr>
                <w:b/>
                <w:bCs/>
                <w:color w:val="102E4F"/>
                <w:sz w:val="18"/>
                <w:szCs w:val="18"/>
              </w:rPr>
              <w:t xml:space="preserve">$8,750</w:t>
            </w:r>
          </w:p>
        </w:tc>
      </w:tr>
      <w:tr>
        <w:tc>
          <w:tcPr>
            <w:tcW w:type="pct" w:w="12%"/>
            <w:tcMar>
              <w:top w:type="dxa" w:w="55"/>
              <w:left w:type="dxa" w:w="45"/>
              <w:bottom w:type="dxa" w:w="55"/>
              <w:right w:type="dxa" w:w="45"/>
            </w:tcMar>
            <w:vAlign w:val="center"/>
          </w:tcPr>
          <w:p>
            <w:pPr>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04800" cy="304800"/>
                          </a:xfrm>
                          <a:prstGeom prst="rect">
                            <a:avLst/>
                          </a:prstGeom>
                        </pic:spPr>
                      </pic:pic>
                    </a:graphicData>
                  </a:graphic>
                </wp:inline>
              </w:drawing>
            </w:r>
          </w:p>
        </w:tc>
        <w:tc>
          <w:tcPr>
            <w:tcW w:type="pct" w:w="56%"/>
            <w:tcMar>
              <w:top w:type="dxa" w:w="42"/>
              <w:left w:type="dxa" w:w="75"/>
              <w:bottom w:type="dxa" w:w="42"/>
              <w:right w:type="dxa" w:w="75"/>
            </w:tcMar>
            <w:vAlign w:val="center"/>
          </w:tcPr>
          <w:p>
            <w:pPr>
              <w:spacing w:after="12" w:line="190" w:lineRule="atLeast"/>
            </w:pPr>
            <w:r>
              <w:rPr>
                <w:b/>
                <w:bCs/>
                <w:color w:val="102E4F"/>
                <w:sz w:val="15"/>
                <w:szCs w:val="15"/>
              </w:rPr>
              <w:t xml:space="preserve">Filters</w:t>
            </w:r>
          </w:p>
          <w:p>
            <w:pPr>
              <w:spacing w:after="0" w:line="175" w:lineRule="atLeast"/>
            </w:pPr>
            <w:r>
              <w:rPr>
                <w:color w:val="64748B"/>
                <w:sz w:val="12"/>
                <w:szCs w:val="12"/>
              </w:rPr>
              <w:t xml:space="preserve">CE-500-CTAH</w:t>
            </w:r>
          </w:p>
        </w:tc>
        <w:tc>
          <w:tcPr>
            <w:tcW w:type="pct" w:w="10%"/>
            <w:shd w:fill="FFFFFF" w:val="clear"/>
            <w:tcMar>
              <w:top w:type="dxa" w:w="80"/>
              <w:left w:type="dxa" w:w="100"/>
              <w:bottom w:type="dxa" w:w="80"/>
              <w:right w:type="dxa" w:w="100"/>
            </w:tcMar>
            <w:vAlign w:val="center"/>
          </w:tcPr>
          <w:p>
            <w:pPr>
              <w:spacing w:after="0"/>
              <w:jc w:val="center"/>
            </w:pPr>
            <w:r>
              <w:rPr>
                <w:color w:val="243B5A"/>
                <w:sz w:val="18"/>
                <w:szCs w:val="18"/>
              </w:rPr>
              <w:t xml:space="preserve">1</w:t>
            </w:r>
          </w:p>
        </w:tc>
        <w:tc>
          <w:tcPr>
            <w:tcW w:type="pct" w:w="22%"/>
            <w:shd w:fill="FFFFFF" w:val="clear"/>
            <w:tcMar>
              <w:top w:type="dxa" w:w="80"/>
              <w:left w:type="dxa" w:w="100"/>
              <w:bottom w:type="dxa" w:w="80"/>
              <w:right w:type="dxa" w:w="100"/>
            </w:tcMar>
            <w:vAlign w:val="center"/>
          </w:tcPr>
          <w:p>
            <w:pPr>
              <w:spacing w:after="0"/>
              <w:jc w:val="right"/>
            </w:pPr>
            <w:r>
              <w:rPr>
                <w:b/>
                <w:bCs/>
                <w:color w:val="102E4F"/>
                <w:sz w:val="18"/>
                <w:szCs w:val="18"/>
              </w:rPr>
              <w:t xml:space="preserve">$3,400</w:t>
            </w:r>
          </w:p>
        </w:tc>
      </w:tr>
      <w:tr>
        <w:tc>
          <w:tcPr>
            <w:tcW w:type="pct" w:w="12%"/>
            <w:tcMar>
              <w:top w:type="dxa" w:w="55"/>
              <w:left w:type="dxa" w:w="45"/>
              <w:bottom w:type="dxa" w:w="55"/>
              <w:right w:type="dxa" w:w="45"/>
            </w:tcMar>
            <w:vAlign w:val="center"/>
          </w:tcPr>
          <w:p>
            <w:pPr>
              <w:jc w:val="center"/>
            </w:pPr>
            <w:r>
              <w:drawing>
                <wp:inline distT="0" distB="0" distL="0" distR="0">
                  <wp:extent cx="206829"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06829" cy="304800"/>
                          </a:xfrm>
                          <a:prstGeom prst="rect">
                            <a:avLst/>
                          </a:prstGeom>
                        </pic:spPr>
                      </pic:pic>
                    </a:graphicData>
                  </a:graphic>
                </wp:inline>
              </w:drawing>
            </w:r>
          </w:p>
        </w:tc>
        <w:tc>
          <w:tcPr>
            <w:tcW w:type="pct" w:w="56%"/>
            <w:tcMar>
              <w:top w:type="dxa" w:w="42"/>
              <w:left w:type="dxa" w:w="75"/>
              <w:bottom w:type="dxa" w:w="42"/>
              <w:right w:type="dxa" w:w="75"/>
            </w:tcMar>
            <w:vAlign w:val="center"/>
          </w:tcPr>
          <w:p>
            <w:pPr>
              <w:spacing w:after="12" w:line="190" w:lineRule="atLeast"/>
            </w:pPr>
            <w:r>
              <w:rPr>
                <w:b/>
                <w:bCs/>
                <w:color w:val="102E4F"/>
                <w:sz w:val="15"/>
                <w:szCs w:val="15"/>
              </w:rPr>
              <w:t xml:space="preserve">Air tank</w:t>
            </w:r>
          </w:p>
          <w:p>
            <w:pPr>
              <w:spacing w:after="0" w:line="175" w:lineRule="atLeast"/>
            </w:pPr>
            <w:r>
              <w:rPr>
                <w:color w:val="64748B"/>
                <w:sz w:val="12"/>
                <w:szCs w:val="12"/>
              </w:rPr>
              <w:t xml:space="preserve">Vertical Air Tank 660 US gal</w:t>
            </w:r>
          </w:p>
        </w:tc>
        <w:tc>
          <w:tcPr>
            <w:tcW w:type="pct" w:w="10%"/>
            <w:shd w:fill="FFFFFF" w:val="clear"/>
            <w:tcMar>
              <w:top w:type="dxa" w:w="80"/>
              <w:left w:type="dxa" w:w="100"/>
              <w:bottom w:type="dxa" w:w="80"/>
              <w:right w:type="dxa" w:w="100"/>
            </w:tcMar>
            <w:vAlign w:val="center"/>
          </w:tcPr>
          <w:p>
            <w:pPr>
              <w:spacing w:after="0"/>
              <w:jc w:val="center"/>
            </w:pPr>
            <w:r>
              <w:rPr>
                <w:color w:val="243B5A"/>
                <w:sz w:val="18"/>
                <w:szCs w:val="18"/>
              </w:rPr>
              <w:t xml:space="preserve">1</w:t>
            </w:r>
          </w:p>
        </w:tc>
        <w:tc>
          <w:tcPr>
            <w:tcW w:type="pct" w:w="22%"/>
            <w:shd w:fill="FFFFFF" w:val="clear"/>
            <w:tcMar>
              <w:top w:type="dxa" w:w="80"/>
              <w:left w:type="dxa" w:w="100"/>
              <w:bottom w:type="dxa" w:w="80"/>
              <w:right w:type="dxa" w:w="100"/>
            </w:tcMar>
            <w:vAlign w:val="center"/>
          </w:tcPr>
          <w:p>
            <w:pPr>
              <w:spacing w:after="0"/>
              <w:jc w:val="right"/>
            </w:pPr>
            <w:r>
              <w:rPr>
                <w:b/>
                <w:bCs/>
                <w:color w:val="102E4F"/>
                <w:sz w:val="18"/>
                <w:szCs w:val="18"/>
              </w:rPr>
              <w:t xml:space="preserve">$11,900</w:t>
            </w:r>
          </w:p>
        </w:tc>
      </w:tr>
      <w:tr>
        <w:tc>
          <w:tcPr>
            <w:tcW w:type="pct" w:w="12%"/>
            <w:tcMar>
              <w:top w:type="dxa" w:w="55"/>
              <w:left w:type="dxa" w:w="45"/>
              <w:bottom w:type="dxa" w:w="55"/>
              <w:right w:type="dxa" w:w="45"/>
            </w:tcMar>
            <w:vAlign w:val="center"/>
          </w:tcPr>
          <w:p>
            <w:pPr>
              <w:jc w:val="center"/>
            </w:pPr>
            <w:r>
              <w:drawing>
                <wp:inline distT="0" distB="0" distL="0" distR="0">
                  <wp:extent cx="261257"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61257" cy="304800"/>
                          </a:xfrm>
                          <a:prstGeom prst="rect">
                            <a:avLst/>
                          </a:prstGeom>
                        </pic:spPr>
                      </pic:pic>
                    </a:graphicData>
                  </a:graphic>
                </wp:inline>
              </w:drawing>
            </w:r>
          </w:p>
        </w:tc>
        <w:tc>
          <w:tcPr>
            <w:tcW w:type="pct" w:w="56%"/>
            <w:tcMar>
              <w:top w:type="dxa" w:w="42"/>
              <w:left w:type="dxa" w:w="75"/>
              <w:bottom w:type="dxa" w:w="42"/>
              <w:right w:type="dxa" w:w="75"/>
            </w:tcMar>
            <w:vAlign w:val="center"/>
          </w:tcPr>
          <w:p>
            <w:pPr>
              <w:spacing w:after="12" w:line="190" w:lineRule="atLeast"/>
            </w:pPr>
            <w:r>
              <w:rPr>
                <w:b/>
                <w:bCs/>
                <w:color w:val="102E4F"/>
                <w:sz w:val="15"/>
                <w:szCs w:val="15"/>
              </w:rPr>
              <w:t xml:space="preserve">Nitrogen PSA generator</w:t>
            </w:r>
          </w:p>
          <w:p>
            <w:pPr>
              <w:spacing w:after="0" w:line="175" w:lineRule="atLeast"/>
            </w:pPr>
            <w:r>
              <w:rPr>
                <w:color w:val="64748B"/>
                <w:sz w:val="12"/>
                <w:szCs w:val="12"/>
              </w:rPr>
              <w:t xml:space="preserve">GN-150</w:t>
            </w:r>
          </w:p>
        </w:tc>
        <w:tc>
          <w:tcPr>
            <w:tcW w:type="pct" w:w="10%"/>
            <w:shd w:fill="FFFFFF" w:val="clear"/>
            <w:tcMar>
              <w:top w:type="dxa" w:w="80"/>
              <w:left w:type="dxa" w:w="100"/>
              <w:bottom w:type="dxa" w:w="80"/>
              <w:right w:type="dxa" w:w="100"/>
            </w:tcMar>
            <w:vAlign w:val="center"/>
          </w:tcPr>
          <w:p>
            <w:pPr>
              <w:spacing w:after="0"/>
              <w:jc w:val="center"/>
            </w:pPr>
            <w:r>
              <w:rPr>
                <w:color w:val="243B5A"/>
                <w:sz w:val="18"/>
                <w:szCs w:val="18"/>
              </w:rPr>
              <w:t xml:space="preserve">1</w:t>
            </w:r>
          </w:p>
        </w:tc>
        <w:tc>
          <w:tcPr>
            <w:tcW w:type="pct" w:w="22%"/>
            <w:shd w:fill="FFFFFF" w:val="clear"/>
            <w:tcMar>
              <w:top w:type="dxa" w:w="80"/>
              <w:left w:type="dxa" w:w="100"/>
              <w:bottom w:type="dxa" w:w="80"/>
              <w:right w:type="dxa" w:w="100"/>
            </w:tcMar>
            <w:vAlign w:val="center"/>
          </w:tcPr>
          <w:p>
            <w:pPr>
              <w:spacing w:after="0"/>
              <w:jc w:val="right"/>
            </w:pPr>
            <w:r>
              <w:rPr>
                <w:b/>
                <w:bCs/>
                <w:color w:val="102E4F"/>
                <w:sz w:val="18"/>
                <w:szCs w:val="18"/>
              </w:rPr>
              <w:t xml:space="preserve">$79,000</w:t>
            </w:r>
          </w:p>
        </w:tc>
      </w:tr>
      <w:tr>
        <w:tc>
          <w:tcPr>
            <w:tcW w:type="pct" w:w="12%"/>
            <w:tcMar>
              <w:top w:type="dxa" w:w="55"/>
              <w:left w:type="dxa" w:w="45"/>
              <w:bottom w:type="dxa" w:w="55"/>
              <w:right w:type="dxa" w:w="45"/>
            </w:tcMar>
            <w:vAlign w:val="center"/>
          </w:tcPr>
          <w:p>
            <w:pPr>
              <w:jc w:val="center"/>
            </w:pPr>
            <w:r>
              <w:drawing>
                <wp:inline distT="0" distB="0" distL="0" distR="0">
                  <wp:extent cx="206829"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06829" cy="304800"/>
                          </a:xfrm>
                          <a:prstGeom prst="rect">
                            <a:avLst/>
                          </a:prstGeom>
                        </pic:spPr>
                      </pic:pic>
                    </a:graphicData>
                  </a:graphic>
                </wp:inline>
              </w:drawing>
            </w:r>
          </w:p>
        </w:tc>
        <w:tc>
          <w:tcPr>
            <w:tcW w:type="pct" w:w="56%"/>
            <w:tcMar>
              <w:top w:type="dxa" w:w="42"/>
              <w:left w:type="dxa" w:w="75"/>
              <w:bottom w:type="dxa" w:w="42"/>
              <w:right w:type="dxa" w:w="75"/>
            </w:tcMar>
            <w:vAlign w:val="center"/>
          </w:tcPr>
          <w:p>
            <w:pPr>
              <w:spacing w:after="12" w:line="190" w:lineRule="atLeast"/>
            </w:pPr>
            <w:r>
              <w:rPr>
                <w:b/>
                <w:bCs/>
                <w:color w:val="102E4F"/>
                <w:sz w:val="15"/>
                <w:szCs w:val="15"/>
              </w:rPr>
              <w:t xml:space="preserve">Nitrogen process tank</w:t>
            </w:r>
          </w:p>
          <w:p>
            <w:pPr>
              <w:spacing w:after="0" w:line="175" w:lineRule="atLeast"/>
            </w:pPr>
            <w:r>
              <w:rPr>
                <w:color w:val="64748B"/>
                <w:sz w:val="12"/>
                <w:szCs w:val="12"/>
              </w:rPr>
              <w:t xml:space="preserve">Vertical Air Tank 240 US gal</w:t>
            </w:r>
          </w:p>
        </w:tc>
        <w:tc>
          <w:tcPr>
            <w:tcW w:type="pct" w:w="10%"/>
            <w:shd w:fill="FFFFFF" w:val="clear"/>
            <w:tcMar>
              <w:top w:type="dxa" w:w="80"/>
              <w:left w:type="dxa" w:w="100"/>
              <w:bottom w:type="dxa" w:w="80"/>
              <w:right w:type="dxa" w:w="100"/>
            </w:tcMar>
            <w:vAlign w:val="center"/>
          </w:tcPr>
          <w:p>
            <w:pPr>
              <w:spacing w:after="0"/>
              <w:jc w:val="center"/>
            </w:pPr>
            <w:r>
              <w:rPr>
                <w:color w:val="243B5A"/>
                <w:sz w:val="18"/>
                <w:szCs w:val="18"/>
              </w:rPr>
              <w:t xml:space="preserve">1</w:t>
            </w:r>
          </w:p>
        </w:tc>
        <w:tc>
          <w:tcPr>
            <w:tcW w:type="pct" w:w="22%"/>
            <w:shd w:fill="FFFFFF" w:val="clear"/>
            <w:tcMar>
              <w:top w:type="dxa" w:w="80"/>
              <w:left w:type="dxa" w:w="100"/>
              <w:bottom w:type="dxa" w:w="80"/>
              <w:right w:type="dxa" w:w="100"/>
            </w:tcMar>
            <w:vAlign w:val="center"/>
          </w:tcPr>
          <w:p>
            <w:pPr>
              <w:spacing w:after="0"/>
              <w:jc w:val="right"/>
            </w:pPr>
            <w:r>
              <w:rPr>
                <w:b/>
                <w:bCs/>
                <w:color w:val="102E4F"/>
                <w:sz w:val="18"/>
                <w:szCs w:val="18"/>
              </w:rPr>
              <w:t xml:space="preserve">$3,400</w:t>
            </w:r>
          </w:p>
        </w:tc>
      </w:tr>
      <w:tr>
        <w:tc>
          <w:tcPr>
            <w:tcW w:type="pct" w:w="12%"/>
            <w:tcMar>
              <w:top w:type="dxa" w:w="55"/>
              <w:left w:type="dxa" w:w="45"/>
              <w:bottom w:type="dxa" w:w="55"/>
              <w:right w:type="dxa" w:w="45"/>
            </w:tcMar>
            <w:vAlign w:val="center"/>
          </w:tcPr>
          <w:p>
            <w:pPr>
              <w:jc w:val="center"/>
            </w:pPr>
            <w:r>
              <w:drawing>
                <wp:inline distT="0" distB="0" distL="0" distR="0">
                  <wp:extent cx="206829"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06829" cy="304800"/>
                          </a:xfrm>
                          <a:prstGeom prst="rect">
                            <a:avLst/>
                          </a:prstGeom>
                        </pic:spPr>
                      </pic:pic>
                    </a:graphicData>
                  </a:graphic>
                </wp:inline>
              </w:drawing>
            </w:r>
          </w:p>
        </w:tc>
        <w:tc>
          <w:tcPr>
            <w:tcW w:type="pct" w:w="56%"/>
            <w:tcMar>
              <w:top w:type="dxa" w:w="42"/>
              <w:left w:type="dxa" w:w="75"/>
              <w:bottom w:type="dxa" w:w="42"/>
              <w:right w:type="dxa" w:w="75"/>
            </w:tcMar>
            <w:vAlign w:val="center"/>
          </w:tcPr>
          <w:p>
            <w:pPr>
              <w:spacing w:after="12" w:line="190" w:lineRule="atLeast"/>
            </w:pPr>
            <w:r>
              <w:rPr>
                <w:b/>
                <w:bCs/>
                <w:color w:val="102E4F"/>
                <w:sz w:val="15"/>
                <w:szCs w:val="15"/>
              </w:rPr>
              <w:t xml:space="preserve">Nitrogen buffer tank</w:t>
            </w:r>
          </w:p>
          <w:p>
            <w:pPr>
              <w:spacing w:after="0" w:line="175" w:lineRule="atLeast"/>
            </w:pPr>
            <w:r>
              <w:rPr>
                <w:color w:val="64748B"/>
                <w:sz w:val="12"/>
                <w:szCs w:val="12"/>
              </w:rPr>
              <w:t xml:space="preserve">Vertical Air Tank 240 US gal</w:t>
            </w:r>
          </w:p>
        </w:tc>
        <w:tc>
          <w:tcPr>
            <w:tcW w:type="pct" w:w="10%"/>
            <w:shd w:fill="FFFFFF" w:val="clear"/>
            <w:tcMar>
              <w:top w:type="dxa" w:w="80"/>
              <w:left w:type="dxa" w:w="100"/>
              <w:bottom w:type="dxa" w:w="80"/>
              <w:right w:type="dxa" w:w="100"/>
            </w:tcMar>
            <w:vAlign w:val="center"/>
          </w:tcPr>
          <w:p>
            <w:pPr>
              <w:spacing w:after="0"/>
              <w:jc w:val="center"/>
            </w:pPr>
            <w:r>
              <w:rPr>
                <w:color w:val="243B5A"/>
                <w:sz w:val="18"/>
                <w:szCs w:val="18"/>
              </w:rPr>
              <w:t xml:space="preserve">1</w:t>
            </w:r>
          </w:p>
        </w:tc>
        <w:tc>
          <w:tcPr>
            <w:tcW w:type="pct" w:w="22%"/>
            <w:shd w:fill="FFFFFF" w:val="clear"/>
            <w:tcMar>
              <w:top w:type="dxa" w:w="80"/>
              <w:left w:type="dxa" w:w="100"/>
              <w:bottom w:type="dxa" w:w="80"/>
              <w:right w:type="dxa" w:w="100"/>
            </w:tcMar>
            <w:vAlign w:val="center"/>
          </w:tcPr>
          <w:p>
            <w:pPr>
              <w:spacing w:after="0"/>
              <w:jc w:val="right"/>
            </w:pPr>
            <w:r>
              <w:rPr>
                <w:b/>
                <w:bCs/>
                <w:color w:val="102E4F"/>
                <w:sz w:val="18"/>
                <w:szCs w:val="18"/>
              </w:rPr>
              <w:t xml:space="preserve">$3,400</w:t>
            </w:r>
          </w:p>
        </w:tc>
      </w:tr>
      <w:tr>
        <w:tc>
          <w:tcPr>
            <w:tcW w:type="pct" w:w="12%"/>
            <w:shd w:fill="102E4F" w:val="clear"/>
            <w:tcMar>
              <w:top w:type="dxa" w:w="80"/>
              <w:left w:type="dxa" w:w="100"/>
              <w:bottom w:type="dxa" w:w="80"/>
              <w:right w:type="dxa" w:w="100"/>
            </w:tcMar>
            <w:vAlign w:val="center"/>
          </w:tcPr>
          <w:p>
            <w:pPr>
              <w:spacing w:after="0"/>
            </w:pPr>
            <w:r>
              <w:rPr>
                <w:color w:val="243B5A"/>
                <w:sz w:val="18"/>
                <w:szCs w:val="18"/>
              </w:rPr>
              <w:t xml:space="preserve"/>
            </w:r>
          </w:p>
        </w:tc>
        <w:tc>
          <w:tcPr>
            <w:tcW w:type="pct" w:w="56%"/>
            <w:shd w:fill="102E4F" w:val="clear"/>
            <w:tcMar>
              <w:top w:type="dxa" w:w="80"/>
              <w:left w:type="dxa" w:w="100"/>
              <w:bottom w:type="dxa" w:w="80"/>
              <w:right w:type="dxa" w:w="100"/>
            </w:tcMar>
            <w:vAlign w:val="center"/>
          </w:tcPr>
          <w:p>
            <w:pPr>
              <w:spacing w:after="0"/>
            </w:pPr>
            <w:r>
              <w:rPr>
                <w:b/>
                <w:bCs/>
                <w:color w:val="FFFFFF"/>
                <w:sz w:val="18"/>
                <w:szCs w:val="18"/>
              </w:rPr>
              <w:t xml:space="preserve">Budgetary total (tax excluded)</w:t>
            </w:r>
          </w:p>
        </w:tc>
        <w:tc>
          <w:tcPr>
            <w:tcW w:type="pct" w:w="10%"/>
            <w:shd w:fill="102E4F" w:val="clear"/>
            <w:tcMar>
              <w:top w:type="dxa" w:w="80"/>
              <w:left w:type="dxa" w:w="100"/>
              <w:bottom w:type="dxa" w:w="80"/>
              <w:right w:type="dxa" w:w="100"/>
            </w:tcMar>
            <w:vAlign w:val="center"/>
          </w:tcPr>
          <w:p>
            <w:pPr>
              <w:spacing w:after="0"/>
            </w:pPr>
            <w:r>
              <w:rPr>
                <w:color w:val="243B5A"/>
                <w:sz w:val="18"/>
                <w:szCs w:val="18"/>
              </w:rPr>
              <w:t xml:space="preserve"/>
            </w:r>
          </w:p>
        </w:tc>
        <w:tc>
          <w:tcPr>
            <w:tcW w:type="pct" w:w="22%"/>
            <w:shd w:fill="102E4F" w:val="clear"/>
            <w:tcMar>
              <w:top w:type="dxa" w:w="80"/>
              <w:left w:type="dxa" w:w="100"/>
              <w:bottom w:type="dxa" w:w="80"/>
              <w:right w:type="dxa" w:w="100"/>
            </w:tcMar>
            <w:vAlign w:val="center"/>
          </w:tcPr>
          <w:p>
            <w:pPr>
              <w:spacing w:after="0"/>
              <w:jc w:val="right"/>
            </w:pPr>
            <w:r>
              <w:rPr>
                <w:b/>
                <w:bCs/>
                <w:color w:val="FFFFFF"/>
                <w:sz w:val="18"/>
                <w:szCs w:val="18"/>
              </w:rPr>
              <w:t xml:space="preserve">$146,650</w:t>
            </w:r>
          </w:p>
        </w:tc>
      </w:tr>
    </w:tbl>
    <w:p>
      <w:pPr>
        <w:spacing w:after="55" w:line="260" w:lineRule="atLeast"/>
      </w:pPr>
      <w:r>
        <w:rPr>
          <w:b/>
          <w:bCs/>
          <w:color w:val="102E4F"/>
          <w:sz w:val="22"/>
          <w:szCs w:val="22"/>
        </w:rPr>
        <w:t xml:space="preserve">COMMERCIAL TERMS</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29"/>
        <w:gridCol w:w="71"/>
      </w:tblGrid>
      <w:tr>
        <w:trPr>
          <w:cantSplit/>
        </w:trPr>
        <w:tc>
          <w:tcPr>
            <w:tcW w:type="pct" w:w="29%"/>
            <w:shd w:fill="F1F5FA" w:val="clear"/>
            <w:tcMar>
              <w:top w:type="dxa" w:w="45"/>
              <w:left w:type="dxa" w:w="90"/>
              <w:bottom w:type="dxa" w:w="45"/>
              <w:right w:type="dxa" w:w="90"/>
            </w:tcMar>
            <w:vAlign w:val="center"/>
          </w:tcPr>
          <w:p>
            <w:pPr>
              <w:spacing w:after="0"/>
            </w:pPr>
            <w:r>
              <w:rPr>
                <w:color w:val="243B5A"/>
                <w:sz w:val="17"/>
                <w:szCs w:val="17"/>
              </w:rPr>
              <w:t xml:space="preserve">Payment</w:t>
            </w:r>
          </w:p>
        </w:tc>
        <w:tc>
          <w:tcPr>
            <w:tcW w:type="pct" w:w="71%"/>
            <w:shd w:fill="F1F5FA" w:val="clear"/>
            <w:tcMar>
              <w:top w:type="dxa" w:w="45"/>
              <w:left w:type="dxa" w:w="90"/>
              <w:bottom w:type="dxa" w:w="45"/>
              <w:right w:type="dxa" w:w="90"/>
            </w:tcMar>
            <w:vAlign w:val="center"/>
          </w:tcPr>
          <w:p>
            <w:pPr>
              <w:spacing w:after="0"/>
            </w:pPr>
            <w:r>
              <w:rPr>
                <w:color w:val="243B5A"/>
                <w:sz w:val="17"/>
                <w:szCs w:val="17"/>
              </w:rPr>
              <w:t xml:space="preserve">Equipment: 30% deposit due upon receipt of order; 40% due upon notification that the equipment is ready at the factory; final 30% due prior to shipment. Startup, commissioning, and training: Net 30 (payment due within 30 days of the invoice date).</w:t>
            </w:r>
          </w:p>
        </w:tc>
      </w:tr>
      <w:tr>
        <w:trPr>
          <w:cantSplit/>
        </w:trPr>
        <w:tc>
          <w:tcPr>
            <w:tcW w:type="pct" w:w="29%"/>
            <w:shd w:fill="FFFFFF" w:val="clear"/>
            <w:tcMar>
              <w:top w:type="dxa" w:w="45"/>
              <w:left w:type="dxa" w:w="90"/>
              <w:bottom w:type="dxa" w:w="45"/>
              <w:right w:type="dxa" w:w="90"/>
            </w:tcMar>
            <w:vAlign w:val="center"/>
          </w:tcPr>
          <w:p>
            <w:pPr>
              <w:spacing w:after="0"/>
            </w:pPr>
            <w:r>
              <w:rPr>
                <w:color w:val="243B5A"/>
                <w:sz w:val="17"/>
                <w:szCs w:val="17"/>
              </w:rPr>
              <w:t xml:space="preserve">Lead time</w:t>
            </w:r>
          </w:p>
        </w:tc>
        <w:tc>
          <w:tcPr>
            <w:tcW w:type="pct" w:w="71%"/>
            <w:shd w:fill="FFFFFF" w:val="clear"/>
            <w:tcMar>
              <w:top w:type="dxa" w:w="45"/>
              <w:left w:type="dxa" w:w="90"/>
              <w:bottom w:type="dxa" w:w="45"/>
              <w:right w:type="dxa" w:w="90"/>
            </w:tcMar>
            <w:vAlign w:val="center"/>
          </w:tcPr>
          <w:p>
            <w:pPr>
              <w:spacing w:after="0"/>
            </w:pPr>
            <w:r>
              <w:rPr>
                <w:color w:val="243B5A"/>
                <w:sz w:val="17"/>
                <w:szCs w:val="17"/>
              </w:rPr>
              <w:t xml:space="preserve">60 days ex-works</w:t>
            </w:r>
          </w:p>
        </w:tc>
      </w:tr>
      <w:tr>
        <w:trPr>
          <w:cantSplit/>
        </w:trPr>
        <w:tc>
          <w:tcPr>
            <w:tcW w:type="pct" w:w="29%"/>
            <w:shd w:fill="F1F5FA" w:val="clear"/>
            <w:tcMar>
              <w:top w:type="dxa" w:w="45"/>
              <w:left w:type="dxa" w:w="90"/>
              <w:bottom w:type="dxa" w:w="45"/>
              <w:right w:type="dxa" w:w="90"/>
            </w:tcMar>
            <w:vAlign w:val="center"/>
          </w:tcPr>
          <w:p>
            <w:pPr>
              <w:spacing w:after="0"/>
            </w:pPr>
            <w:r>
              <w:rPr>
                <w:color w:val="243B5A"/>
                <w:sz w:val="17"/>
                <w:szCs w:val="17"/>
              </w:rPr>
              <w:t xml:space="preserve">Warranty</w:t>
            </w:r>
          </w:p>
        </w:tc>
        <w:tc>
          <w:tcPr>
            <w:tcW w:type="pct" w:w="71%"/>
            <w:shd w:fill="F1F5FA" w:val="clear"/>
            <w:tcMar>
              <w:top w:type="dxa" w:w="45"/>
              <w:left w:type="dxa" w:w="90"/>
              <w:bottom w:type="dxa" w:w="45"/>
              <w:right w:type="dxa" w:w="90"/>
            </w:tcMar>
            <w:vAlign w:val="center"/>
          </w:tcPr>
          <w:p>
            <w:pPr>
              <w:spacing w:after="0"/>
            </w:pPr>
            <w:r>
              <w:rPr>
                <w:color w:val="243B5A"/>
                <w:sz w:val="17"/>
                <w:szCs w:val="17"/>
              </w:rPr>
              <w:t xml:space="preserve">12 months for supplied equipment</w:t>
            </w:r>
          </w:p>
        </w:tc>
      </w:tr>
      <w:tr>
        <w:trPr>
          <w:cantSplit/>
        </w:trPr>
        <w:tc>
          <w:tcPr>
            <w:tcW w:type="pct" w:w="29%"/>
            <w:shd w:fill="FFFFFF" w:val="clear"/>
            <w:tcMar>
              <w:top w:type="dxa" w:w="45"/>
              <w:left w:type="dxa" w:w="90"/>
              <w:bottom w:type="dxa" w:w="45"/>
              <w:right w:type="dxa" w:w="90"/>
            </w:tcMar>
            <w:vAlign w:val="center"/>
          </w:tcPr>
          <w:p>
            <w:pPr>
              <w:spacing w:after="0"/>
            </w:pPr>
            <w:r>
              <w:rPr>
                <w:color w:val="243B5A"/>
                <w:sz w:val="17"/>
                <w:szCs w:val="17"/>
              </w:rPr>
              <w:t xml:space="preserve">Offer validity</w:t>
            </w:r>
          </w:p>
        </w:tc>
        <w:tc>
          <w:tcPr>
            <w:tcW w:type="pct" w:w="71%"/>
            <w:shd w:fill="FFFFFF" w:val="clear"/>
            <w:tcMar>
              <w:top w:type="dxa" w:w="45"/>
              <w:left w:type="dxa" w:w="90"/>
              <w:bottom w:type="dxa" w:w="45"/>
              <w:right w:type="dxa" w:w="90"/>
            </w:tcMar>
            <w:vAlign w:val="center"/>
          </w:tcPr>
          <w:p>
            <w:pPr>
              <w:spacing w:after="0"/>
            </w:pPr>
            <w:r>
              <w:rPr>
                <w:color w:val="243B5A"/>
                <w:sz w:val="17"/>
                <w:szCs w:val="17"/>
              </w:rPr>
              <w:t xml:space="preserve">Through September 8, 2026</w:t>
            </w:r>
          </w:p>
        </w:tc>
      </w:tr>
      <w:tr>
        <w:trPr>
          <w:cantSplit/>
        </w:trPr>
        <w:tc>
          <w:tcPr>
            <w:tcW w:type="pct" w:w="29%"/>
            <w:shd w:fill="F1F5FA" w:val="clear"/>
            <w:tcMar>
              <w:top w:type="dxa" w:w="45"/>
              <w:left w:type="dxa" w:w="90"/>
              <w:bottom w:type="dxa" w:w="45"/>
              <w:right w:type="dxa" w:w="90"/>
            </w:tcMar>
            <w:vAlign w:val="center"/>
          </w:tcPr>
          <w:p>
            <w:pPr>
              <w:spacing w:after="0"/>
            </w:pPr>
            <w:r>
              <w:rPr>
                <w:color w:val="243B5A"/>
                <w:sz w:val="17"/>
                <w:szCs w:val="17"/>
              </w:rPr>
              <w:t xml:space="preserve">Currency / tax</w:t>
            </w:r>
          </w:p>
        </w:tc>
        <w:tc>
          <w:tcPr>
            <w:tcW w:type="pct" w:w="71%"/>
            <w:shd w:fill="F1F5FA" w:val="clear"/>
            <w:tcMar>
              <w:top w:type="dxa" w:w="45"/>
              <w:left w:type="dxa" w:w="90"/>
              <w:bottom w:type="dxa" w:w="45"/>
              <w:right w:type="dxa" w:w="90"/>
            </w:tcMar>
            <w:vAlign w:val="center"/>
          </w:tcPr>
          <w:p>
            <w:pPr>
              <w:spacing w:after="0"/>
            </w:pPr>
            <w:r>
              <w:rPr>
                <w:color w:val="243B5A"/>
                <w:sz w:val="17"/>
                <w:szCs w:val="17"/>
              </w:rPr>
              <w:t xml:space="preserve">USD; sales and use taxes are excluded</w:t>
            </w:r>
          </w:p>
        </w:tc>
      </w:tr>
      <w:tr>
        <w:trPr>
          <w:cantSplit/>
        </w:trPr>
        <w:tc>
          <w:tcPr>
            <w:tcW w:type="pct" w:w="29%"/>
            <w:shd w:fill="FFFFFF" w:val="clear"/>
            <w:tcMar>
              <w:top w:type="dxa" w:w="45"/>
              <w:left w:type="dxa" w:w="90"/>
              <w:bottom w:type="dxa" w:w="45"/>
              <w:right w:type="dxa" w:w="90"/>
            </w:tcMar>
            <w:vAlign w:val="center"/>
          </w:tcPr>
          <w:p>
            <w:pPr>
              <w:spacing w:after="0"/>
            </w:pPr>
            <w:r>
              <w:rPr>
                <w:color w:val="243B5A"/>
                <w:sz w:val="17"/>
                <w:szCs w:val="17"/>
              </w:rPr>
              <w:t xml:space="preserve">Commissioning</w:t>
            </w:r>
          </w:p>
        </w:tc>
        <w:tc>
          <w:tcPr>
            <w:tcW w:type="pct" w:w="71%"/>
            <w:shd w:fill="FFFFFF" w:val="clear"/>
            <w:tcMar>
              <w:top w:type="dxa" w:w="45"/>
              <w:left w:type="dxa" w:w="90"/>
              <w:bottom w:type="dxa" w:w="45"/>
              <w:right w:type="dxa" w:w="90"/>
            </w:tcMar>
            <w:vAlign w:val="center"/>
          </w:tcPr>
          <w:p>
            <w:pPr>
              <w:spacing w:after="0"/>
            </w:pPr>
            <w:r>
              <w:rPr>
                <w:color w:val="243B5A"/>
                <w:sz w:val="17"/>
                <w:szCs w:val="17"/>
              </w:rPr>
              <w:t xml:space="preserve">Quoted separately unless expressly included in the commercial scope</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8806"/>
        <w:gridCol w:w="1434"/>
      </w:tblGrid>
      <w:tr>
        <w:trPr>
          <w:cantSplit/>
        </w:trPr>
        <w:tc>
          <w:tcPr>
            <w:tcW w:type="pct" w:w="86%"/>
            <w:shd w:fill="F1F5FA"/>
          </w:tcPr>
          <w:p>
            <w:pPr>
              <w:spacing w:after="45" w:line="210" w:lineRule="atLeast"/>
            </w:pPr>
            <w:r>
              <w:rPr>
                <w:b/>
                <w:bCs/>
                <w:color w:val="102E4F"/>
                <w:sz w:val="19"/>
                <w:szCs w:val="19"/>
              </w:rPr>
              <w:t xml:space="preserve">Your package: $146,650 · Through September 8, 2026</w:t>
            </w:r>
          </w:p>
          <w:p>
            <w:pPr>
              <w:spacing w:after="35" w:line="190" w:lineRule="atLeast"/>
            </w:pPr>
            <w:r>
              <w:rPr>
                <w:color w:val="243B5A"/>
                <w:sz w:val="14"/>
                <w:szCs w:val="14"/>
              </w:rPr>
              <w:t xml:space="preserve">1. Review the equipment package · 2. Confirm site and delivery details · 3. Approve the final order</w:t>
            </w:r>
          </w:p>
          <w:p>
            <w:pPr>
              <w:spacing w:after="35" w:line="185" w:lineRule="atLeast"/>
            </w:pPr>
            <w:r>
              <w:rPr>
                <w:color w:val="243B5A"/>
                <w:sz w:val="13"/>
                <w:szCs w:val="13"/>
              </w:rPr>
              <w:t xml:space="preserve">Final equipment selection requires Safe Equip engineering confirmation before purchase.</w:t>
            </w:r>
          </w:p>
          <w:p>
            <w:pPr>
              <w:spacing w:after="0" w:line="190" w:lineRule="atLeast"/>
            </w:pPr>
            <w:r>
              <w:rPr>
                <w:b/>
                <w:bCs/>
                <w:color w:val="102E4F"/>
                <w:sz w:val="15"/>
                <w:szCs w:val="15"/>
              </w:rPr>
              <w:t xml:space="preserve">sales@s-equip.com · (727)349-5569</w:t>
            </w:r>
          </w:p>
        </w:tc>
        <w:tc>
          <w:tcPr>
            <w:tcW w:type="pct" w:w="14%"/>
          </w:tcPr>
          <w:p>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 cy="571500"/>
                          </a:xfrm>
                          <a:prstGeom prst="rect">
                            <a:avLst/>
                          </a:prstGeom>
                        </pic:spPr>
                      </pic:pic>
                    </a:graphicData>
                  </a:graphic>
                </wp:inline>
              </w:drawing>
            </w:r>
          </w:p>
        </w:tc>
      </w:tr>
    </w:tbl>
    <w:p>
      <w:pPr>
        <w:sectPr>
          <w:headerReference w:type="default" r:id="rId7"/>
          <w:headerReference w:type="first" r:id="rId8"/>
          <w:headerReference w:type="even" r:id="rId9"/>
          <w:footerReference w:type="default" r:id="rId10"/>
          <w:footerReference w:type="first" r:id="rId11"/>
          <w:footerReference w:type="even" r:id="rId12"/>
          <w:pgSz w:w="12240" w:h="15840" w:orient="portrait"/>
          <w:pgMar w:top="900" w:right="1000" w:bottom="835" w:left="1000" w:header="250" w:footer="250" w:gutter="0"/>
          <w:pgNumType/>
          <w:titlePg/>
          <w:docGrid w:linePitch="360"/>
        </w:sectPr>
      </w:pPr>
    </w:p>
    <w:p>
      <w:pPr>
        <w:spacing w:after="45" w:line="200" w:lineRule="atLeast"/>
      </w:pPr>
      <w:r>
        <w:rPr>
          <w:b/>
          <w:bCs/>
          <w:color w:val="FF5A00"/>
          <w:sz w:val="16"/>
          <w:szCs w:val="16"/>
        </w:rPr>
        <w:t xml:space="preserve">A1 · NITROGEN GENERATION</w:t>
      </w:r>
    </w:p>
    <w:p>
      <w:pPr>
        <w:spacing w:after="65" w:line="470" w:lineRule="atLeast"/>
      </w:pPr>
      <w:r>
        <w:rPr>
          <w:b/>
          <w:bCs/>
          <w:color w:val="102E4F"/>
          <w:sz w:val="44"/>
          <w:szCs w:val="44"/>
        </w:rPr>
        <w:t xml:space="preserve">How your nitrogen system works</w:t>
      </w:r>
    </w:p>
    <w:p>
      <w:pPr>
        <w:spacing w:after="190" w:line="250" w:lineRule="atLeast"/>
      </w:pPr>
      <w:r>
        <w:rPr>
          <w:color w:val="64748B"/>
          <w:sz w:val="20"/>
          <w:szCs w:val="20"/>
        </w:rPr>
        <w:t xml:space="preserve">Compressed air is dried and filtered before the PSA generator separates nitrogen. The diagram shows the gas path and the instruments that monitor its quality before delivery to your process.</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14"/>
        <w:gridCol w:w="14"/>
        <w:gridCol w:w="14"/>
        <w:gridCol w:w="14"/>
        <w:gridCol w:w="14"/>
        <w:gridCol w:w="15"/>
        <w:gridCol w:w="15"/>
      </w:tblGrid>
      <w:tr>
        <w:trPr>
          <w:cantSplit/>
        </w:trPr>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01</w:t>
            </w:r>
          </w:p>
          <w:p>
            <w:pPr>
              <w:spacing w:after="0"/>
            </w:pPr>
            <w:r>
              <w:rPr>
                <w:b/>
                <w:bCs/>
                <w:color w:val="102E4F"/>
                <w:sz w:val="14"/>
                <w:szCs w:val="14"/>
              </w:rPr>
              <w:t xml:space="preserve">Air compressor</w:t>
            </w:r>
          </w:p>
        </w:tc>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02</w:t>
            </w:r>
          </w:p>
          <w:p>
            <w:pPr>
              <w:spacing w:after="0"/>
            </w:pPr>
            <w:r>
              <w:rPr>
                <w:b/>
                <w:bCs/>
                <w:color w:val="102E4F"/>
                <w:sz w:val="14"/>
                <w:szCs w:val="14"/>
              </w:rPr>
              <w:t xml:space="preserve">Air dryer</w:t>
            </w:r>
          </w:p>
        </w:tc>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03</w:t>
            </w:r>
          </w:p>
          <w:p>
            <w:pPr>
              <w:spacing w:after="0"/>
            </w:pPr>
            <w:r>
              <w:rPr>
                <w:b/>
                <w:bCs/>
                <w:color w:val="102E4F"/>
                <w:sz w:val="14"/>
                <w:szCs w:val="14"/>
              </w:rPr>
              <w:t xml:space="preserve">Filters</w:t>
            </w:r>
          </w:p>
        </w:tc>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04</w:t>
            </w:r>
          </w:p>
          <w:p>
            <w:pPr>
              <w:spacing w:after="0"/>
            </w:pPr>
            <w:r>
              <w:rPr>
                <w:b/>
                <w:bCs/>
                <w:color w:val="102E4F"/>
                <w:sz w:val="14"/>
                <w:szCs w:val="14"/>
              </w:rPr>
              <w:t xml:space="preserve">Air tank</w:t>
            </w:r>
          </w:p>
        </w:tc>
        <w:tc>
          <w:tcPr>
            <w:tcW w:type="pct" w:w="14%"/>
            <w:shd w:fill="F1F5FA" w:val="clear"/>
            <w:tcMar>
              <w:top w:type="dxa" w:w="80"/>
              <w:left w:type="dxa" w:w="100"/>
              <w:bottom w:type="dxa" w:w="80"/>
              <w:right w:type="dxa" w:w="100"/>
            </w:tcMar>
            <w:vAlign w:val="center"/>
          </w:tcPr>
          <w:p>
            <w:pPr>
              <w:spacing w:after="30"/>
            </w:pPr>
            <w:r>
              <w:rPr>
                <w:b/>
                <w:bCs/>
                <w:color w:val="102E4F"/>
                <w:sz w:val="14"/>
                <w:szCs w:val="14"/>
              </w:rPr>
              <w:t xml:space="preserve">05</w:t>
            </w:r>
          </w:p>
          <w:p>
            <w:pPr>
              <w:spacing w:after="0"/>
            </w:pPr>
            <w:r>
              <w:rPr>
                <w:b/>
                <w:bCs/>
                <w:color w:val="102E4F"/>
                <w:sz w:val="14"/>
                <w:szCs w:val="14"/>
              </w:rPr>
              <w:t xml:space="preserve">PSA nitrogen generator</w:t>
            </w:r>
          </w:p>
        </w:tc>
        <w:tc>
          <w:tcPr>
            <w:tcW w:type="pct" w:w="15%"/>
            <w:shd w:fill="F1F5FA" w:val="clear"/>
            <w:tcMar>
              <w:top w:type="dxa" w:w="80"/>
              <w:left w:type="dxa" w:w="100"/>
              <w:bottom w:type="dxa" w:w="80"/>
              <w:right w:type="dxa" w:w="100"/>
            </w:tcMar>
            <w:vAlign w:val="center"/>
          </w:tcPr>
          <w:p>
            <w:pPr>
              <w:spacing w:after="30"/>
            </w:pPr>
            <w:r>
              <w:rPr>
                <w:b/>
                <w:bCs/>
                <w:color w:val="102E4F"/>
                <w:sz w:val="14"/>
                <w:szCs w:val="14"/>
              </w:rPr>
              <w:t xml:space="preserve">06</w:t>
            </w:r>
          </w:p>
          <w:p>
            <w:pPr>
              <w:spacing w:after="0"/>
            </w:pPr>
            <w:r>
              <w:rPr>
                <w:b/>
                <w:bCs/>
                <w:color w:val="102E4F"/>
                <w:sz w:val="14"/>
                <w:szCs w:val="14"/>
              </w:rPr>
              <w:t xml:space="preserve">Nitrogen process tank</w:t>
            </w:r>
          </w:p>
        </w:tc>
        <w:tc>
          <w:tcPr>
            <w:tcW w:type="pct" w:w="15%"/>
            <w:shd w:fill="F1F5FA" w:val="clear"/>
            <w:tcMar>
              <w:top w:type="dxa" w:w="80"/>
              <w:left w:type="dxa" w:w="100"/>
              <w:bottom w:type="dxa" w:w="80"/>
              <w:right w:type="dxa" w:w="100"/>
            </w:tcMar>
            <w:vAlign w:val="center"/>
          </w:tcPr>
          <w:p>
            <w:pPr>
              <w:spacing w:after="30"/>
            </w:pPr>
            <w:r>
              <w:rPr>
                <w:b/>
                <w:bCs/>
                <w:color w:val="102E4F"/>
                <w:sz w:val="14"/>
                <w:szCs w:val="14"/>
              </w:rPr>
              <w:t xml:space="preserve">07</w:t>
            </w:r>
          </w:p>
          <w:p>
            <w:pPr>
              <w:spacing w:after="0"/>
            </w:pPr>
            <w:r>
              <w:rPr>
                <w:b/>
                <w:bCs/>
                <w:color w:val="102E4F"/>
                <w:sz w:val="14"/>
                <w:szCs w:val="14"/>
              </w:rPr>
              <w:t xml:space="preserve">Nitrogen buffer tank</w:t>
            </w:r>
          </w:p>
        </w:tc>
      </w:tr>
    </w:tbl>
    <w:p>
      <w:pPr>
        <w:spacing w:after="85" w:before="90"/>
        <w:jc w:val="center"/>
      </w:pPr>
      <w:r>
        <w:drawing>
          <wp:inline distT="0" distB="0" distL="0" distR="0">
            <wp:extent cx="85725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8572500" cy="2809875"/>
                    </a:xfrm>
                    <a:prstGeom prst="rect">
                      <a:avLst/>
                    </a:prstGeom>
                  </pic:spPr>
                </pic:pic>
              </a:graphicData>
            </a:graphic>
          </wp:inline>
        </w:drawing>
      </w:r>
    </w:p>
    <w:p>
      <w:pPr>
        <w:spacing w:after="110" w:line="260" w:lineRule="atLeast"/>
      </w:pPr>
      <w:r>
        <w:rPr>
          <w:color w:val="64748B"/>
          <w:sz w:val="15"/>
          <w:szCs w:val="15"/>
        </w:rPr>
        <w:t xml:space="preserve">Concept diagram only. Exact model and revision drawings are not confirmed. Approved project drawings govern fabrication and installation.</w:t>
      </w:r>
    </w:p>
    <w:tbl>
      <w:tblPr>
        <w:tblW w:type="pct" w:w="100%"/>
        <w:tblBorders>
          <w:top w:val="single" w:color="CAD7E8" w:sz="10"/>
          <w:left w:val="single" w:color="CAD7E8" w:sz="10"/>
          <w:bottom w:val="single" w:color="CAD7E8" w:sz="10"/>
          <w:right w:val="single" w:color="CAD7E8" w:sz="10"/>
          <w:insideH w:val="single" w:color="auto" w:sz="4"/>
          <w:insideV w:val="single" w:color="auto" w:sz="4"/>
        </w:tblBorders>
      </w:tblPr>
      <w:tblGrid>
        <w:gridCol w:w="100"/>
      </w:tblGrid>
      <w:tr>
        <w:tc>
          <w:tcPr>
            <w:tcW w:type="pct" w:w="100%"/>
            <w:shd w:fill="F1F5FA" w:val="clear"/>
            <w:tcMar>
              <w:top w:type="dxa" w:w="120"/>
              <w:left w:type="dxa" w:w="150"/>
              <w:bottom w:type="dxa" w:w="120"/>
              <w:right w:type="dxa" w:w="150"/>
            </w:tcMar>
          </w:tcPr>
          <w:p>
            <w:pPr>
              <w:spacing w:after="45" w:line="220" w:lineRule="atLeast"/>
            </w:pPr>
            <w:r>
              <w:rPr>
                <w:b/>
                <w:bCs/>
                <w:color w:val="102E4F"/>
                <w:sz w:val="22"/>
                <w:szCs w:val="22"/>
              </w:rPr>
              <w:t xml:space="preserve">Why the two nitrogen tanks matter</w:t>
            </w:r>
          </w:p>
          <w:p>
            <w:pPr>
              <w:spacing w:after="0" w:line="235" w:lineRule="atLeast"/>
            </w:pPr>
            <w:r>
              <w:rPr>
                <w:color w:val="243B5A"/>
                <w:sz w:val="18"/>
                <w:szCs w:val="18"/>
              </w:rPr>
              <w:t xml:space="preserve">Generated nitrogen first enters a dedicated process tank. Gas is then routed through the generator analysis section for continuous measurement by the gas analyzer, flowmeter, and electronic pressure instrumentation before entering the separate nitrogen buffer tank and the customer distribution system.
The separate buffer tank stores qualified nitrogen and helps smooth pressure and flow as your demand changes.</w:t>
            </w:r>
          </w:p>
        </w:tc>
      </w:tr>
    </w:tbl>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33"/>
        <w:gridCol w:w="34"/>
        <w:gridCol w:w="33"/>
      </w:tblGrid>
      <w:tr>
        <w:trPr>
          <w:cantSplit/>
        </w:trPr>
        <w:tc>
          <w:tcPr>
            <w:tcW w:type="pct" w:w="33%"/>
            <w:shd w:fill="F1F5FA" w:val="clear"/>
            <w:tcMar>
              <w:top w:type="dxa" w:w="80"/>
              <w:left w:type="dxa" w:w="100"/>
              <w:bottom w:type="dxa" w:w="80"/>
              <w:right w:type="dxa" w:w="100"/>
            </w:tcMar>
            <w:vAlign w:val="center"/>
          </w:tcPr>
          <w:p>
            <w:pPr>
              <w:spacing w:after="30"/>
            </w:pPr>
            <w:r>
              <w:rPr>
                <w:color w:val="243B5A"/>
                <w:sz w:val="17"/>
                <w:szCs w:val="17"/>
              </w:rPr>
              <w:t xml:space="preserve">1 · Air preparation</w:t>
            </w:r>
          </w:p>
          <w:p>
            <w:pPr>
              <w:spacing w:after="0"/>
            </w:pPr>
            <w:r>
              <w:rPr>
                <w:color w:val="243B5A"/>
                <w:sz w:val="17"/>
                <w:szCs w:val="17"/>
              </w:rPr>
              <w:t xml:space="preserve">Compressor, dryer and filters condition the feed.</w:t>
            </w:r>
          </w:p>
        </w:tc>
        <w:tc>
          <w:tcPr>
            <w:tcW w:type="pct" w:w="34%"/>
            <w:shd w:fill="F1F5FA" w:val="clear"/>
            <w:tcMar>
              <w:top w:type="dxa" w:w="80"/>
              <w:left w:type="dxa" w:w="100"/>
              <w:bottom w:type="dxa" w:w="80"/>
              <w:right w:type="dxa" w:w="100"/>
            </w:tcMar>
            <w:vAlign w:val="center"/>
          </w:tcPr>
          <w:p>
            <w:pPr>
              <w:spacing w:after="30"/>
            </w:pPr>
            <w:r>
              <w:rPr>
                <w:color w:val="243B5A"/>
                <w:sz w:val="17"/>
                <w:szCs w:val="17"/>
              </w:rPr>
              <w:t xml:space="preserve">2 · Separation and control</w:t>
            </w:r>
          </w:p>
          <w:p>
            <w:pPr>
              <w:spacing w:after="0"/>
            </w:pPr>
            <w:r>
              <w:rPr>
                <w:color w:val="243B5A"/>
                <w:sz w:val="17"/>
                <w:szCs w:val="17"/>
              </w:rPr>
              <w:t xml:space="preserve">PSA vessels, valves and instruments govern generation.</w:t>
            </w:r>
          </w:p>
        </w:tc>
        <w:tc>
          <w:tcPr>
            <w:tcW w:type="pct" w:w="33%"/>
            <w:shd w:fill="F1F5FA" w:val="clear"/>
            <w:tcMar>
              <w:top w:type="dxa" w:w="80"/>
              <w:left w:type="dxa" w:w="100"/>
              <w:bottom w:type="dxa" w:w="80"/>
              <w:right w:type="dxa" w:w="100"/>
            </w:tcMar>
            <w:vAlign w:val="center"/>
          </w:tcPr>
          <w:p>
            <w:pPr>
              <w:spacing w:after="30"/>
            </w:pPr>
            <w:r>
              <w:rPr>
                <w:color w:val="243B5A"/>
                <w:sz w:val="17"/>
                <w:szCs w:val="17"/>
              </w:rPr>
              <w:t xml:space="preserve">3 · Product and monitoring</w:t>
            </w:r>
          </w:p>
          <w:p>
            <w:pPr>
              <w:spacing w:after="0"/>
            </w:pPr>
            <w:r>
              <w:rPr>
                <w:color w:val="243B5A"/>
                <w:sz w:val="17"/>
                <w:szCs w:val="17"/>
              </w:rPr>
              <w:t xml:space="preserve">The process tank and analyzer support product monitoring.</w:t>
            </w:r>
          </w:p>
        </w:tc>
      </w:tr>
    </w:tbl>
    <w:p>
      <w:pPr>
        <w:sectPr>
          <w:headerReference w:type="default" r:id="rId13"/>
          <w:headerReference w:type="even" r:id="rId14"/>
          <w:footerReference w:type="default" r:id="rId15"/>
          <w:footerReference w:type="even" r:id="rId16"/>
          <w:pgSz w:w="15840" w:h="12240" w:orient="landscape"/>
          <w:pgMar w:top="950" w:right="1000" w:bottom="835" w:left="1000" w:header="250" w:footer="250" w:gutter="0"/>
          <w:pgNumType/>
          <w:docGrid w:linePitch="360"/>
        </w:sectPr>
      </w:pPr>
    </w:p>
    <w:p>
      <w:pPr>
        <w:spacing w:after="45" w:line="200" w:lineRule="atLeast"/>
      </w:pPr>
      <w:r>
        <w:rPr>
          <w:b/>
          <w:bCs/>
          <w:color w:val="FF5A00"/>
          <w:sz w:val="16"/>
          <w:szCs w:val="16"/>
        </w:rPr>
        <w:t xml:space="preserve">A2 · GLOSSARY</w:t>
      </w:r>
    </w:p>
    <w:p>
      <w:pPr>
        <w:spacing w:after="65" w:line="470" w:lineRule="atLeast"/>
      </w:pPr>
      <w:r>
        <w:rPr>
          <w:b/>
          <w:bCs/>
          <w:color w:val="102E4F"/>
          <w:sz w:val="44"/>
          <w:szCs w:val="44"/>
        </w:rPr>
        <w:t xml:space="preserve">The technical terms, in plain English</w:t>
      </w:r>
    </w:p>
    <w:p>
      <w:pPr>
        <w:spacing w:after="190" w:line="250" w:lineRule="atLeast"/>
      </w:pPr>
      <w:r>
        <w:rPr>
          <w:color w:val="64748B"/>
          <w:sz w:val="20"/>
          <w:szCs w:val="20"/>
        </w:rPr>
        <w:t xml:space="preserve">A short guide for purchasing, engineering and operations.</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50"/>
        <w:gridCol w:w="50"/>
      </w:tblGrid>
      <w:tr>
        <w:trPr>
          <w:cantSplit/>
          <w:trHeight w:val="2800" w:hRule="atLeast"/>
        </w:trPr>
        <w:tc>
          <w:tcPr>
            <w:tcW w:type="pct" w:w="50%"/>
            <w:shd w:fill="F1F5FA" w:val="clear"/>
            <w:tcMar>
              <w:top w:type="dxa" w:w="220"/>
              <w:left w:type="dxa" w:w="220"/>
              <w:bottom w:type="dxa" w:w="220"/>
              <w:right w:type="dxa" w:w="220"/>
            </w:tcMar>
            <w:vAlign w:val="center"/>
          </w:tcPr>
          <w:p>
            <w:pPr>
              <w:spacing w:after="30"/>
            </w:pPr>
            <w:r>
              <w:rPr>
                <w:color w:val="243B5A"/>
                <w:sz w:val="21"/>
                <w:szCs w:val="21"/>
              </w:rPr>
              <w:t xml:space="preserve">SCFM / SCFH</w:t>
            </w:r>
          </w:p>
          <w:p>
            <w:pPr>
              <w:spacing w:after="30"/>
            </w:pPr>
            <w:r>
              <w:rPr>
                <w:color w:val="243B5A"/>
                <w:sz w:val="21"/>
                <w:szCs w:val="21"/>
              </w:rPr>
              <w:t xml:space="preserve"/>
            </w:r>
          </w:p>
          <w:p>
            <w:pPr>
              <w:spacing w:after="0"/>
            </w:pPr>
            <w:r>
              <w:rPr>
                <w:color w:val="243B5A"/>
                <w:sz w:val="21"/>
                <w:szCs w:val="21"/>
              </w:rPr>
              <w:t xml:space="preserve">Standard cubic feet per minute / per hour. Nitrogen can be displayed in either unit; compressed-air values remain in SCFM. One SCFM equals 60 SCFH.</w:t>
            </w:r>
          </w:p>
        </w:tc>
        <w:tc>
          <w:tcPr>
            <w:tcW w:type="pct" w:w="50%"/>
            <w:shd w:fill="F1F5FA" w:val="clear"/>
            <w:tcMar>
              <w:top w:type="dxa" w:w="220"/>
              <w:left w:type="dxa" w:w="220"/>
              <w:bottom w:type="dxa" w:w="220"/>
              <w:right w:type="dxa" w:w="220"/>
            </w:tcMar>
            <w:vAlign w:val="center"/>
          </w:tcPr>
          <w:p>
            <w:pPr>
              <w:spacing w:after="30"/>
            </w:pPr>
            <w:r>
              <w:rPr>
                <w:color w:val="243B5A"/>
                <w:sz w:val="21"/>
                <w:szCs w:val="21"/>
              </w:rPr>
              <w:t xml:space="preserve">PSA</w:t>
            </w:r>
          </w:p>
          <w:p>
            <w:pPr>
              <w:spacing w:after="30"/>
            </w:pPr>
            <w:r>
              <w:rPr>
                <w:color w:val="243B5A"/>
                <w:sz w:val="21"/>
                <w:szCs w:val="21"/>
              </w:rPr>
              <w:t xml:space="preserve"/>
            </w:r>
          </w:p>
          <w:p>
            <w:pPr>
              <w:spacing w:after="0"/>
            </w:pPr>
            <w:r>
              <w:rPr>
                <w:color w:val="243B5A"/>
                <w:sz w:val="21"/>
                <w:szCs w:val="21"/>
              </w:rPr>
              <w:t xml:space="preserve">Pressure Swing Adsorption: the generator separates nitrogen from compressed air using alternating adsorption vessels.</w:t>
            </w:r>
          </w:p>
        </w:tc>
      </w:tr>
    </w:tbl>
    <w:p>
      <w:pPr>
        <w:spacing w:after="180" w:line="150" w:lineRule="atLeast"/>
      </w:pPr>
      <w:r>
        <w:rPr>
          <w:color w:val="243B5A"/>
          <w:sz w:val="20"/>
          <w:szCs w:val="20"/>
        </w:rPr>
        <w:t xml:space="preserve"/>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50"/>
        <w:gridCol w:w="50"/>
      </w:tblGrid>
      <w:tr>
        <w:trPr>
          <w:cantSplit/>
          <w:trHeight w:val="2800" w:hRule="atLeast"/>
        </w:trPr>
        <w:tc>
          <w:tcPr>
            <w:tcW w:type="pct" w:w="50%"/>
            <w:shd w:fill="F1F5FA" w:val="clear"/>
            <w:tcMar>
              <w:top w:type="dxa" w:w="220"/>
              <w:left w:type="dxa" w:w="220"/>
              <w:bottom w:type="dxa" w:w="220"/>
              <w:right w:type="dxa" w:w="220"/>
            </w:tcMar>
            <w:vAlign w:val="center"/>
          </w:tcPr>
          <w:p>
            <w:pPr>
              <w:spacing w:after="30"/>
            </w:pPr>
            <w:r>
              <w:rPr>
                <w:color w:val="243B5A"/>
                <w:sz w:val="21"/>
                <w:szCs w:val="21"/>
              </w:rPr>
              <w:t xml:space="preserve">PDP</w:t>
            </w:r>
          </w:p>
          <w:p>
            <w:pPr>
              <w:spacing w:after="30"/>
            </w:pPr>
            <w:r>
              <w:rPr>
                <w:color w:val="243B5A"/>
                <w:sz w:val="21"/>
                <w:szCs w:val="21"/>
              </w:rPr>
              <w:t xml:space="preserve"/>
            </w:r>
          </w:p>
          <w:p>
            <w:pPr>
              <w:spacing w:after="0"/>
            </w:pPr>
            <w:r>
              <w:rPr>
                <w:color w:val="243B5A"/>
                <w:sz w:val="21"/>
                <w:szCs w:val="21"/>
              </w:rPr>
              <w:t xml:space="preserve">Pressure dew point: the temperature at which moisture condenses at the stated gas pressure. A value is shown only when confirmed for the selected model.</w:t>
            </w:r>
          </w:p>
        </w:tc>
        <w:tc>
          <w:tcPr>
            <w:tcW w:type="pct" w:w="50%"/>
            <w:shd w:fill="F1F5FA" w:val="clear"/>
            <w:tcMar>
              <w:top w:type="dxa" w:w="220"/>
              <w:left w:type="dxa" w:w="220"/>
              <w:bottom w:type="dxa" w:w="220"/>
              <w:right w:type="dxa" w:w="220"/>
            </w:tcMar>
            <w:vAlign w:val="center"/>
          </w:tcPr>
          <w:p>
            <w:pPr>
              <w:spacing w:after="30"/>
            </w:pPr>
            <w:r>
              <w:rPr>
                <w:color w:val="243B5A"/>
                <w:sz w:val="21"/>
                <w:szCs w:val="21"/>
              </w:rPr>
              <w:t xml:space="preserve">ISO 8573-1 air quality</w:t>
            </w:r>
          </w:p>
          <w:p>
            <w:pPr>
              <w:spacing w:after="30"/>
            </w:pPr>
            <w:r>
              <w:rPr>
                <w:color w:val="243B5A"/>
                <w:sz w:val="21"/>
                <w:szCs w:val="21"/>
              </w:rPr>
              <w:t xml:space="preserve"/>
            </w:r>
          </w:p>
          <w:p>
            <w:pPr>
              <w:spacing w:after="0"/>
            </w:pPr>
            <w:r>
              <w:rPr>
                <w:color w:val="243B5A"/>
                <w:sz w:val="21"/>
                <w:szCs w:val="21"/>
              </w:rPr>
              <w:t xml:space="preserve">The three class numbers describe particles, water and oil in that order. The specified inlet-air quality is part of the design basis.</w:t>
            </w:r>
          </w:p>
        </w:tc>
      </w:tr>
    </w:tbl>
    <w:p>
      <w:pPr>
        <w:spacing w:after="180" w:line="150" w:lineRule="atLeast"/>
      </w:pPr>
      <w:r>
        <w:rPr>
          <w:color w:val="243B5A"/>
          <w:sz w:val="20"/>
          <w:szCs w:val="20"/>
        </w:rPr>
        <w:t xml:space="preserve"/>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50"/>
        <w:gridCol w:w="50"/>
      </w:tblGrid>
      <w:tr>
        <w:trPr>
          <w:cantSplit/>
          <w:trHeight w:val="2800" w:hRule="atLeast"/>
        </w:trPr>
        <w:tc>
          <w:tcPr>
            <w:tcW w:type="pct" w:w="50%"/>
            <w:shd w:fill="F1F5FA" w:val="clear"/>
            <w:tcMar>
              <w:top w:type="dxa" w:w="220"/>
              <w:left w:type="dxa" w:w="220"/>
              <w:bottom w:type="dxa" w:w="220"/>
              <w:right w:type="dxa" w:w="220"/>
            </w:tcMar>
            <w:vAlign w:val="center"/>
          </w:tcPr>
          <w:p>
            <w:pPr>
              <w:spacing w:after="30"/>
            </w:pPr>
            <w:r>
              <w:rPr>
                <w:color w:val="243B5A"/>
                <w:sz w:val="21"/>
                <w:szCs w:val="21"/>
              </w:rPr>
              <w:t xml:space="preserve">Purity and flow</w:t>
            </w:r>
          </w:p>
          <w:p>
            <w:pPr>
              <w:spacing w:after="30"/>
            </w:pPr>
            <w:r>
              <w:rPr>
                <w:color w:val="243B5A"/>
                <w:sz w:val="21"/>
                <w:szCs w:val="21"/>
              </w:rPr>
              <w:t xml:space="preserve"/>
            </w:r>
          </w:p>
          <w:p>
            <w:pPr>
              <w:spacing w:after="0"/>
            </w:pPr>
            <w:r>
              <w:rPr>
                <w:color w:val="243B5A"/>
                <w:sz w:val="21"/>
                <w:szCs w:val="21"/>
              </w:rPr>
              <w:t xml:space="preserve">The generator catalog lists a nitrogen flow and an air-feed requirement for each purity. These discrete points do not guarantee intermediate or site-specific performance.</w:t>
            </w:r>
          </w:p>
        </w:tc>
        <w:tc>
          <w:tcPr>
            <w:tcW w:type="pct" w:w="50%"/>
            <w:shd w:fill="F1F5FA" w:val="clear"/>
            <w:tcMar>
              <w:top w:type="dxa" w:w="220"/>
              <w:left w:type="dxa" w:w="220"/>
              <w:bottom w:type="dxa" w:w="220"/>
              <w:right w:type="dxa" w:w="220"/>
            </w:tcMar>
            <w:vAlign w:val="center"/>
          </w:tcPr>
          <w:p>
            <w:pPr>
              <w:spacing w:after="30"/>
            </w:pPr>
            <w:r>
              <w:rPr>
                <w:color w:val="243B5A"/>
                <w:sz w:val="21"/>
                <w:szCs w:val="21"/>
              </w:rPr>
              <w:t xml:space="preserve">Process tank / buffer tank</w:t>
            </w:r>
          </w:p>
          <w:p>
            <w:pPr>
              <w:spacing w:after="30"/>
            </w:pPr>
            <w:r>
              <w:rPr>
                <w:color w:val="243B5A"/>
                <w:sz w:val="21"/>
                <w:szCs w:val="21"/>
              </w:rPr>
              <w:t xml:space="preserve"/>
            </w:r>
          </w:p>
          <w:p>
            <w:pPr>
              <w:spacing w:after="0"/>
            </w:pPr>
            <w:r>
              <w:rPr>
                <w:color w:val="243B5A"/>
                <w:sz w:val="21"/>
                <w:szCs w:val="21"/>
              </w:rPr>
              <w:t xml:space="preserve">The nitrogen process tank receives gas during analysis. The separate buffer tank stores qualified nitrogen for the customer distribution system.</w:t>
            </w:r>
          </w:p>
        </w:tc>
      </w:tr>
    </w:tbl>
    <w:p>
      <w:pPr>
        <w:spacing w:after="180" w:line="150" w:lineRule="atLeast"/>
      </w:pPr>
      <w:r>
        <w:rPr>
          <w:color w:val="243B5A"/>
          <w:sz w:val="20"/>
          <w:szCs w:val="20"/>
        </w:rPr>
        <w:t xml:space="preserve"/>
      </w:r>
    </w:p>
    <w:sectPr>
      <w:headerReference w:type="default" r:id="rId17"/>
      <w:headerReference w:type="even" r:id="rId18"/>
      <w:footerReference w:type="default" r:id="rId19"/>
      <w:footerReference w:type="even" r:id="rId20"/>
      <w:pgSz w:w="12240" w:h="15840" w:orient="portrait"/>
      <w:pgMar w:top="950" w:right="1000" w:bottom="835" w:left="1000" w:header="250" w:footer="2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748B"/>
        <w:sz w:val="14"/>
        <w:szCs w:val="14"/>
      </w:rPr>
      <w:t xml:space="preserve">SAFE EQUIP  |  sales@s-equip.com  |  (727)349-5569  |  </w:t>
    </w:r>
    <w:r>
      <w:rPr>
        <w:b/>
        <w:bCs/>
        <w:color w:val="102E4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748B"/>
        <w:sz w:val="14"/>
        <w:szCs w:val="14"/>
      </w:rPr>
      <w:t xml:space="preserve">SAFE EQUIP  |  sales@s-equip.com  |  (727)349-5569  |  </w:t>
    </w:r>
    <w:r>
      <w:rPr>
        <w:b/>
        <w:bCs/>
        <w:color w:val="102E4F"/>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748B"/>
        <w:sz w:val="14"/>
        <w:szCs w:val="14"/>
      </w:rPr>
      <w:t xml:space="preserve">SAFE EQUIP  |  sales@s-equip.com  |  (727)349-5569  |  </w:t>
    </w:r>
    <w:r>
      <w:rPr>
        <w:b/>
        <w:bCs/>
        <w:color w:val="102E4F"/>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748B"/>
        <w:sz w:val="14"/>
        <w:szCs w:val="14"/>
      </w:rPr>
      <w:t xml:space="preserve">SAFE EQUIP  |  sales@s-equip.com  |  (727)349-5569  |  </w:t>
    </w:r>
    <w:r>
      <w:rPr>
        <w:b/>
        <w:bCs/>
        <w:color w:val="102E4F"/>
        <w:sz w:val="16"/>
        <w:szCs w:val="16"/>
      </w:rPr>
      <w:t xml:space="preserve">A1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748B"/>
        <w:sz w:val="14"/>
        <w:szCs w:val="14"/>
      </w:rPr>
      <w:t xml:space="preserve">SAFE EQUIP  |  sales@s-equip.com  |  (727)349-5569  |  </w:t>
    </w:r>
    <w:r>
      <w:rPr>
        <w:b/>
        <w:bCs/>
        <w:color w:val="102E4F"/>
        <w:sz w:val="16"/>
        <w:szCs w:val="16"/>
      </w:rPr>
      <w:t xml:space="preserve">A1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748B"/>
        <w:sz w:val="14"/>
        <w:szCs w:val="14"/>
      </w:rPr>
      <w:t xml:space="preserve">SAFE EQUIP  |  sales@s-equip.com  |  (727)349-5569  |  </w:t>
    </w:r>
    <w:r>
      <w:rPr>
        <w:b/>
        <w:bCs/>
        <w:color w:val="102E4F"/>
        <w:sz w:val="16"/>
        <w:szCs w:val="16"/>
      </w:rPr>
      <w:t xml:space="preserve">A2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748B"/>
        <w:sz w:val="14"/>
        <w:szCs w:val="14"/>
      </w:rPr>
      <w:t xml:space="preserve">SAFE EQUIP  |  sales@s-equip.com  |  (727)349-5569  |  </w:t>
    </w:r>
    <w:r>
      <w:rPr>
        <w:b/>
        <w:bCs/>
        <w:color w:val="102E4F"/>
        <w:sz w:val="16"/>
        <w:szCs w:val="16"/>
      </w:rPr>
      <w:t xml:space="preserve">A2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single" w:color="auto" w:sz="4"/>
        <w:insideV w:val="none" w:sz="0"/>
      </w:tblBorders>
    </w:tblPr>
    <w:tblGrid>
      <w:gridCol w:w="24"/>
      <w:gridCol w:w="76"/>
    </w:tblGrid>
    <w:tr>
      <w:tc>
        <w:tcPr>
          <w:tcW w:type="pct" w:w="24%"/>
          <w:tcMar>
            <w:top w:type="dxa" w:w="20"/>
            <w:left w:type="dxa" w:w="20"/>
            <w:bottom w:type="dxa" w:w="20"/>
            <w:right w:type="dxa" w:w="20"/>
          </w:tcMar>
        </w:tcPr>
        <w:p>
          <w:r>
            <w:drawing>
              <wp:inline distT="0" distB="0" distL="0" distR="0">
                <wp:extent cx="495300" cy="39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390525"/>
                        </a:xfrm>
                        <a:prstGeom prst="rect">
                          <a:avLst/>
                        </a:prstGeom>
                      </pic:spPr>
                    </pic:pic>
                  </a:graphicData>
                </a:graphic>
              </wp:inline>
            </w:drawing>
          </w:r>
        </w:p>
      </w:tc>
      <w:tc>
        <w:tcPr>
          <w:tcW w:type="pct" w:w="100%"/>
          <w:shd w:fill="FFFFFF" w:val="clear"/>
          <w:tcMar>
            <w:top w:type="dxa" w:w="80"/>
            <w:left w:type="dxa" w:w="100"/>
            <w:bottom w:type="dxa" w:w="80"/>
            <w:right w:type="dxa" w:w="100"/>
          </w:tcMar>
          <w:vAlign w:val="center"/>
        </w:tcPr>
        <w:p>
          <w:pPr>
            <w:spacing w:after="0"/>
            <w:jc w:val="right"/>
          </w:pPr>
          <w:r>
            <w:rPr>
              <w:b/>
              <w:bCs/>
              <w:color w:val="102E4F"/>
              <w:sz w:val="14"/>
              <w:szCs w:val="14"/>
            </w:rPr>
            <w:t xml:space="preserve">GN-150 / Complete station</w:t>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single" w:color="auto" w:sz="4"/>
        <w:insideV w:val="none" w:sz="0"/>
      </w:tblBorders>
    </w:tblPr>
    <w:tblGrid>
      <w:gridCol w:w="24"/>
      <w:gridCol w:w="76"/>
    </w:tblGrid>
    <w:tr>
      <w:tc>
        <w:tcPr>
          <w:tcW w:type="pct" w:w="24%"/>
          <w:tcMar>
            <w:top w:type="dxa" w:w="20"/>
            <w:left w:type="dxa" w:w="20"/>
            <w:bottom w:type="dxa" w:w="20"/>
            <w:right w:type="dxa" w:w="20"/>
          </w:tcMar>
        </w:tcPr>
        <w:p>
          <w:r>
            <w:drawing>
              <wp:inline distT="0" distB="0" distL="0" distR="0">
                <wp:extent cx="495300" cy="39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390525"/>
                        </a:xfrm>
                        <a:prstGeom prst="rect">
                          <a:avLst/>
                        </a:prstGeom>
                      </pic:spPr>
                    </pic:pic>
                  </a:graphicData>
                </a:graphic>
              </wp:inline>
            </w:drawing>
          </w:r>
        </w:p>
      </w:tc>
      <w:tc>
        <w:tcPr>
          <w:tcW w:type="pct" w:w="100%"/>
          <w:shd w:fill="FFFFFF" w:val="clear"/>
          <w:tcMar>
            <w:top w:type="dxa" w:w="80"/>
            <w:left w:type="dxa" w:w="100"/>
            <w:bottom w:type="dxa" w:w="80"/>
            <w:right w:type="dxa" w:w="100"/>
          </w:tcMar>
          <w:vAlign w:val="center"/>
        </w:tcPr>
        <w:p>
          <w:pPr>
            <w:spacing w:after="0"/>
            <w:jc w:val="right"/>
          </w:pPr>
          <w:r>
            <w:rPr>
              <w:b/>
              <w:bCs/>
              <w:color w:val="102E4F"/>
              <w:sz w:val="14"/>
              <w:szCs w:val="14"/>
            </w:rPr>
            <w:t xml:space="preserve">GN-150 / Complete station</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single" w:color="auto" w:sz="4"/>
        <w:insideV w:val="none" w:sz="0"/>
      </w:tblBorders>
    </w:tblPr>
    <w:tblGrid>
      <w:gridCol w:w="24"/>
      <w:gridCol w:w="76"/>
    </w:tblGrid>
    <w:tr>
      <w:tc>
        <w:tcPr>
          <w:tcW w:type="pct" w:w="24%"/>
          <w:tcMar>
            <w:top w:type="dxa" w:w="20"/>
            <w:left w:type="dxa" w:w="20"/>
            <w:bottom w:type="dxa" w:w="20"/>
            <w:right w:type="dxa" w:w="20"/>
          </w:tcMar>
        </w:tcPr>
        <w:p>
          <w:r>
            <w:drawing>
              <wp:inline distT="0" distB="0" distL="0" distR="0">
                <wp:extent cx="495300" cy="39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390525"/>
                        </a:xfrm>
                        <a:prstGeom prst="rect">
                          <a:avLst/>
                        </a:prstGeom>
                      </pic:spPr>
                    </pic:pic>
                  </a:graphicData>
                </a:graphic>
              </wp:inline>
            </w:drawing>
          </w:r>
        </w:p>
      </w:tc>
      <w:tc>
        <w:tcPr>
          <w:tcW w:type="pct" w:w="100%"/>
          <w:shd w:fill="FFFFFF" w:val="clear"/>
          <w:tcMar>
            <w:top w:type="dxa" w:w="80"/>
            <w:left w:type="dxa" w:w="100"/>
            <w:bottom w:type="dxa" w:w="80"/>
            <w:right w:type="dxa" w:w="100"/>
          </w:tcMar>
          <w:vAlign w:val="center"/>
        </w:tcPr>
        <w:p>
          <w:pPr>
            <w:spacing w:after="0"/>
            <w:jc w:val="right"/>
          </w:pPr>
          <w:r>
            <w:rPr>
              <w:b/>
              <w:bCs/>
              <w:color w:val="102E4F"/>
              <w:sz w:val="14"/>
              <w:szCs w:val="14"/>
            </w:rPr>
            <w:t xml:space="preserve">GN-150 / Complete station</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single" w:color="auto" w:sz="4"/>
        <w:insideV w:val="none" w:sz="0"/>
      </w:tblBorders>
    </w:tblPr>
    <w:tblGrid>
      <w:gridCol w:w="24"/>
      <w:gridCol w:w="76"/>
    </w:tblGrid>
    <w:tr>
      <w:tc>
        <w:tcPr>
          <w:tcW w:type="pct" w:w="24%"/>
          <w:tcMar>
            <w:top w:type="dxa" w:w="20"/>
            <w:left w:type="dxa" w:w="20"/>
            <w:bottom w:type="dxa" w:w="20"/>
            <w:right w:type="dxa" w:w="20"/>
          </w:tcMar>
        </w:tcPr>
        <w:p>
          <w:r>
            <w:drawing>
              <wp:inline distT="0" distB="0" distL="0" distR="0">
                <wp:extent cx="495300" cy="39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390525"/>
                        </a:xfrm>
                        <a:prstGeom prst="rect">
                          <a:avLst/>
                        </a:prstGeom>
                      </pic:spPr>
                    </pic:pic>
                  </a:graphicData>
                </a:graphic>
              </wp:inline>
            </w:drawing>
          </w:r>
        </w:p>
      </w:tc>
      <w:tc>
        <w:tcPr>
          <w:tcW w:type="pct" w:w="100%"/>
          <w:shd w:fill="FFFFFF" w:val="clear"/>
          <w:tcMar>
            <w:top w:type="dxa" w:w="80"/>
            <w:left w:type="dxa" w:w="100"/>
            <w:bottom w:type="dxa" w:w="80"/>
            <w:right w:type="dxa" w:w="100"/>
          </w:tcMar>
          <w:vAlign w:val="center"/>
        </w:tcPr>
        <w:p>
          <w:pPr>
            <w:spacing w:after="0"/>
            <w:jc w:val="right"/>
          </w:pPr>
          <w:r>
            <w:rPr>
              <w:b/>
              <w:bCs/>
              <w:color w:val="102E4F"/>
              <w:sz w:val="14"/>
              <w:szCs w:val="14"/>
            </w:rPr>
            <w:t xml:space="preserve">GN-150 / Complete station</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single" w:color="auto" w:sz="4"/>
        <w:insideV w:val="none" w:sz="0"/>
      </w:tblBorders>
    </w:tblPr>
    <w:tblGrid>
      <w:gridCol w:w="24"/>
      <w:gridCol w:w="76"/>
    </w:tblGrid>
    <w:tr>
      <w:tc>
        <w:tcPr>
          <w:tcW w:type="pct" w:w="24%"/>
          <w:tcMar>
            <w:top w:type="dxa" w:w="20"/>
            <w:left w:type="dxa" w:w="20"/>
            <w:bottom w:type="dxa" w:w="20"/>
            <w:right w:type="dxa" w:w="20"/>
          </w:tcMar>
        </w:tcPr>
        <w:p>
          <w:r>
            <w:drawing>
              <wp:inline distT="0" distB="0" distL="0" distR="0">
                <wp:extent cx="495300" cy="39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390525"/>
                        </a:xfrm>
                        <a:prstGeom prst="rect">
                          <a:avLst/>
                        </a:prstGeom>
                      </pic:spPr>
                    </pic:pic>
                  </a:graphicData>
                </a:graphic>
              </wp:inline>
            </w:drawing>
          </w:r>
        </w:p>
      </w:tc>
      <w:tc>
        <w:tcPr>
          <w:tcW w:type="pct" w:w="100%"/>
          <w:shd w:fill="FFFFFF" w:val="clear"/>
          <w:tcMar>
            <w:top w:type="dxa" w:w="80"/>
            <w:left w:type="dxa" w:w="100"/>
            <w:bottom w:type="dxa" w:w="80"/>
            <w:right w:type="dxa" w:w="100"/>
          </w:tcMar>
          <w:vAlign w:val="center"/>
        </w:tcPr>
        <w:p>
          <w:pPr>
            <w:spacing w:after="0"/>
            <w:jc w:val="right"/>
          </w:pPr>
          <w:r>
            <w:rPr>
              <w:b/>
              <w:bCs/>
              <w:color w:val="102E4F"/>
              <w:sz w:val="14"/>
              <w:szCs w:val="14"/>
            </w:rPr>
            <w:t xml:space="preserve">GN-150 / Complete station</w:t>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single" w:color="auto" w:sz="4"/>
        <w:insideV w:val="none" w:sz="0"/>
      </w:tblBorders>
    </w:tblPr>
    <w:tblGrid>
      <w:gridCol w:w="24"/>
      <w:gridCol w:w="76"/>
    </w:tblGrid>
    <w:tr>
      <w:tc>
        <w:tcPr>
          <w:tcW w:type="pct" w:w="24%"/>
          <w:tcMar>
            <w:top w:type="dxa" w:w="20"/>
            <w:left w:type="dxa" w:w="20"/>
            <w:bottom w:type="dxa" w:w="20"/>
            <w:right w:type="dxa" w:w="20"/>
          </w:tcMar>
        </w:tcPr>
        <w:p>
          <w:r>
            <w:drawing>
              <wp:inline distT="0" distB="0" distL="0" distR="0">
                <wp:extent cx="495300" cy="39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390525"/>
                        </a:xfrm>
                        <a:prstGeom prst="rect">
                          <a:avLst/>
                        </a:prstGeom>
                      </pic:spPr>
                    </pic:pic>
                  </a:graphicData>
                </a:graphic>
              </wp:inline>
            </w:drawing>
          </w:r>
        </w:p>
      </w:tc>
      <w:tc>
        <w:tcPr>
          <w:tcW w:type="pct" w:w="100%"/>
          <w:shd w:fill="FFFFFF" w:val="clear"/>
          <w:tcMar>
            <w:top w:type="dxa" w:w="80"/>
            <w:left w:type="dxa" w:w="100"/>
            <w:bottom w:type="dxa" w:w="80"/>
            <w:right w:type="dxa" w:w="100"/>
          </w:tcMar>
          <w:vAlign w:val="center"/>
        </w:tcPr>
        <w:p>
          <w:pPr>
            <w:spacing w:after="0"/>
            <w:jc w:val="right"/>
          </w:pPr>
          <w:r>
            <w:rPr>
              <w:b/>
              <w:bCs/>
              <w:color w:val="102E4F"/>
              <w:sz w:val="14"/>
              <w:szCs w:val="14"/>
            </w:rPr>
            <w:t xml:space="preserve">GN-150 / Complete station</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B5A"/>
        <w:sz w:val="20"/>
        <w:szCs w:val="20"/>
      </w:rPr>
    </w:rPrDefault>
    <w:pPrDefault>
      <w:pPr>
        <w:spacing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1ebba5c9426a46b6700e8078903a0e6aa700aa9a.png"/><Relationship Id="rId22" Type="http://schemas.openxmlformats.org/officeDocument/2006/relationships/image" Target="media/b93df2b9d96e8a0933479cb115f7fa7dee1e0d91.jpg"/><Relationship Id="rId23" Type="http://schemas.openxmlformats.org/officeDocument/2006/relationships/image" Target="media/40bdc73f0ea70bc585df5e19c6e0b89c077f857e.png"/><Relationship Id="rId24" Type="http://schemas.openxmlformats.org/officeDocument/2006/relationships/image" Target="media/5c28acfb853ce4069f2ee1e354949a92827dadda.png"/><Relationship Id="rId25" Type="http://schemas.openxmlformats.org/officeDocument/2006/relationships/image" Target="media/c2232cf87755019e3aa0f9a8505c686701b6948b.png"/><Relationship Id="rId26" Type="http://schemas.openxmlformats.org/officeDocument/2006/relationships/image" Target="media/743c1f5ae83b68bfa25e91d68c176b68ab4e6fe2.png"/><Relationship Id="rId27" Type="http://schemas.openxmlformats.org/officeDocument/2006/relationships/image" Target="media/4a04372837a4bf8852f22f5f3d01c7a6b00b4f44.png"/><Relationship Id="rId28" Type="http://schemas.openxmlformats.org/officeDocument/2006/relationships/image" Target="media/c8a070e011f9cb62147594dcb2df39d846663a1f.png"/><Relationship Id="rId29" Type="http://schemas.openxmlformats.org/officeDocument/2006/relationships/image" Target="media/05ad69f19715a2eb3ff60e0ecb737fb091eb12eb.png"/><Relationship Id="rId30" Type="http://schemas.openxmlformats.org/officeDocument/2006/relationships/image" Target="media/aa7a54ff1a5b55c97e4a224096800c96757db551.jpg"/><Relationship Id="rId31" Type="http://schemas.openxmlformats.org/officeDocument/2006/relationships/image" Target="media/90d707e171b49da99e6772a6a845368d51e87a9e.png"/><Relationship Id="rId32" Type="http://schemas.openxmlformats.org/officeDocument/2006/relationships/image" Target="media/2779dd6a5a95e07e9772964a8e2ecbeb5108294c.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ebba5c9426a46b6700e8078903a0e6aa700aa9a.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Relationship Id="rId0" Type="http://schemas.openxmlformats.org/officeDocument/2006/relationships/image" Target="media/1ebba5c9426a46b6700e8078903a0e6aa700aa9a.png"/></Relationships>
</file>

<file path=word/_rels/header4.xml.rels><?xml version="1.0" encoding="UTF-8"?><Relationships xmlns="http://schemas.openxmlformats.org/package/2006/relationships"><Relationship Id="rId0" Type="http://schemas.openxmlformats.org/officeDocument/2006/relationships/image" Target="media/1ebba5c9426a46b6700e8078903a0e6aa700aa9a.png"/></Relationships>
</file>

<file path=word/_rels/header5.xml.rels><?xml version="1.0" encoding="UTF-8"?><Relationships xmlns="http://schemas.openxmlformats.org/package/2006/relationships"><Relationship Id="rId0" Type="http://schemas.openxmlformats.org/officeDocument/2006/relationships/image" Target="media/1ebba5c9426a46b6700e8078903a0e6aa700aa9a.png"/></Relationships>
</file>

<file path=word/_rels/header6.xml.rels><?xml version="1.0" encoding="UTF-8"?><Relationships xmlns="http://schemas.openxmlformats.org/package/2006/relationships"><Relationship Id="rId0" Type="http://schemas.openxmlformats.org/officeDocument/2006/relationships/image" Target="media/1ebba5c9426a46b6700e8078903a0e6aa700aa9a.png"/></Relationships>
</file>

<file path=word/_rels/header7.xml.rels><?xml version="1.0" encoding="UTF-8"?><Relationships xmlns="http://schemas.openxmlformats.org/package/2006/relationships"><Relationship Id="rId0" Type="http://schemas.openxmlformats.org/officeDocument/2006/relationships/image" Target="media/1ebba5c9426a46b6700e8078903a0e6aa700aa9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SE-20260825-GN150-QA · Nitrogen system equipment proposal</dc:title>
  <dc:creator>Safe Equip LLC</dc:creator>
  <dc:description>Customer-facing nitrogen generation system proposal and design-confirmation framework</dc:description>
  <cp:lastModifiedBy>Un-named</cp:lastModifiedBy>
  <cp:revision>1</cp:revision>
  <dcterms:created xsi:type="dcterms:W3CDTF">2026-10-27T06:55:40.419Z</dcterms:created>
  <dcterms:modified xsi:type="dcterms:W3CDTF">2026-10-27T06:55:40.419Z</dcterms:modified>
</cp:coreProperties>
</file>

<file path=docProps/custom.xml><?xml version="1.0" encoding="utf-8"?>
<Properties xmlns="http://schemas.openxmlformats.org/officeDocument/2006/custom-properties" xmlns:vt="http://schemas.openxmlformats.org/officeDocument/2006/docPropsVTypes"/>
</file>